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EC0E9" w14:textId="5550101F" w:rsidR="00900D4C" w:rsidRPr="00900D4C" w:rsidRDefault="00270BB3" w:rsidP="00900D4C">
      <w:pPr>
        <w:rPr>
          <w:rFonts w:ascii="Times New Roman" w:hAnsi="Times New Roman" w:cs="Times New Roman"/>
          <w:b/>
          <w:bCs/>
        </w:rPr>
      </w:pPr>
      <w:r w:rsidRPr="00270BB3">
        <w:rPr>
          <w:rFonts w:ascii="Times New Roman" w:hAnsi="Times New Roman" w:cs="Times New Roman"/>
          <w:b/>
          <w:bCs/>
        </w:rPr>
        <w:t>Business Intelligence in the Mining Sector</w:t>
      </w:r>
    </w:p>
    <w:p w14:paraId="547F9BD7" w14:textId="77777777" w:rsidR="00900D4C" w:rsidRPr="00900D4C" w:rsidRDefault="00900D4C" w:rsidP="00900D4C">
      <w:pPr>
        <w:jc w:val="both"/>
        <w:rPr>
          <w:rFonts w:ascii="Times New Roman" w:hAnsi="Times New Roman" w:cs="Times New Roman"/>
        </w:rPr>
      </w:pPr>
      <w:r w:rsidRPr="00900D4C">
        <w:rPr>
          <w:rFonts w:ascii="Times New Roman" w:hAnsi="Times New Roman" w:cs="Times New Roman"/>
        </w:rPr>
        <w:t>The mining industry is undergoing a significant transformation, necessitated by the need to enhance operational efficiency, sustainability, and adaptability in an increasingly complex and competitive landscape. No-Code Enterprise Resource Planning (ERP) systems have emerged as a key enabler of this transformation, serving as a centralized platform that integrates core operational functions, including human resources (HR) management, safety monitoring, and equipment optimization. The combination of ERP and operational Business Intelligence (BI) facilitates real-time data collection, processing, and analysis, thereby fostering data-driven decision-making across various aspects of mining operations.</w:t>
      </w:r>
    </w:p>
    <w:p w14:paraId="3E8A6C56" w14:textId="77777777" w:rsidR="00900D4C" w:rsidRPr="00900D4C" w:rsidRDefault="00900D4C" w:rsidP="00900D4C">
      <w:pPr>
        <w:jc w:val="both"/>
        <w:rPr>
          <w:rFonts w:ascii="Times New Roman" w:hAnsi="Times New Roman" w:cs="Times New Roman"/>
        </w:rPr>
      </w:pPr>
      <w:r w:rsidRPr="00900D4C">
        <w:rPr>
          <w:rFonts w:ascii="Times New Roman" w:hAnsi="Times New Roman" w:cs="Times New Roman"/>
        </w:rPr>
        <w:t>This concept note examines the strategic value of operational BI within an ERP framework, with a particular focus on its applications in workforce management, safety monitoring, and equipment optimization.</w:t>
      </w:r>
    </w:p>
    <w:p w14:paraId="17BA7122" w14:textId="77777777" w:rsidR="00900D4C" w:rsidRPr="00191924" w:rsidRDefault="00900D4C" w:rsidP="00900D4C">
      <w:pPr>
        <w:jc w:val="both"/>
        <w:rPr>
          <w:rFonts w:ascii="Times New Roman" w:hAnsi="Times New Roman" w:cs="Times New Roman"/>
          <w:b/>
          <w:bCs/>
        </w:rPr>
      </w:pPr>
      <w:r w:rsidRPr="00191924">
        <w:rPr>
          <w:rFonts w:ascii="Times New Roman" w:hAnsi="Times New Roman" w:cs="Times New Roman"/>
          <w:b/>
          <w:bCs/>
        </w:rPr>
        <w:t>Workforce Management: Leveraging ERP-Driven Business Intelligence</w:t>
      </w:r>
    </w:p>
    <w:p w14:paraId="2D696E19" w14:textId="08ACA747" w:rsidR="00900D4C" w:rsidRPr="00900D4C" w:rsidRDefault="00900D4C" w:rsidP="00900D4C">
      <w:pPr>
        <w:jc w:val="both"/>
        <w:rPr>
          <w:rFonts w:ascii="Times New Roman" w:hAnsi="Times New Roman" w:cs="Times New Roman"/>
        </w:rPr>
      </w:pPr>
      <w:r w:rsidRPr="00900D4C">
        <w:rPr>
          <w:rFonts w:ascii="Times New Roman" w:hAnsi="Times New Roman" w:cs="Times New Roman"/>
        </w:rPr>
        <w:t xml:space="preserve">The integration of ERP and BI enhances workforce management </w:t>
      </w:r>
      <w:r w:rsidR="00191924">
        <w:rPr>
          <w:rFonts w:ascii="Times New Roman" w:hAnsi="Times New Roman" w:cs="Times New Roman"/>
        </w:rPr>
        <w:t>with</w:t>
      </w:r>
      <w:r w:rsidRPr="00900D4C">
        <w:rPr>
          <w:rFonts w:ascii="Times New Roman" w:hAnsi="Times New Roman" w:cs="Times New Roman"/>
        </w:rPr>
        <w:t xml:space="preserve"> enabling comprehensive data analysis to support strategic decision-making. The systematic examination of HR data uncovers patterns related to employee performance, turnover rates, and training requirements. Additionally, correlating key variables—such as shift schedules, safety incidents, and productivity metrics—allows BI systems within ERP platforms to detect inefficiencies and recommend targeted interventions. These interventions may include personalized training programs, optimized shift rotations, and workload redistribution to improve overall workforce productivity.</w:t>
      </w:r>
    </w:p>
    <w:p w14:paraId="764C0AD6" w14:textId="6299FB4C" w:rsidR="00900D4C" w:rsidRPr="00900D4C" w:rsidRDefault="00900D4C" w:rsidP="00900D4C">
      <w:pPr>
        <w:jc w:val="both"/>
        <w:rPr>
          <w:rFonts w:ascii="Times New Roman" w:hAnsi="Times New Roman" w:cs="Times New Roman"/>
        </w:rPr>
      </w:pPr>
      <w:r w:rsidRPr="00900D4C">
        <w:rPr>
          <w:rFonts w:ascii="Times New Roman" w:hAnsi="Times New Roman" w:cs="Times New Roman"/>
        </w:rPr>
        <w:t>Furthermore, predictive analytics embedded within ERP solutions facilitate proactive workforce planning. Forecasting labor shortages or surpluses based on production demands ensures alignment between workforce availability and operational requirements. Consequently, mining enterprises can implement informed recruitment, redeployment, and succession planning strategies, mitigating potential disruptions and enhancing overall labor efficiency.</w:t>
      </w:r>
    </w:p>
    <w:p w14:paraId="5E48A0C3" w14:textId="77777777" w:rsidR="00900D4C" w:rsidRPr="008655D3" w:rsidRDefault="00900D4C" w:rsidP="00900D4C">
      <w:pPr>
        <w:jc w:val="both"/>
        <w:rPr>
          <w:rFonts w:ascii="Times New Roman" w:hAnsi="Times New Roman" w:cs="Times New Roman"/>
          <w:b/>
          <w:bCs/>
        </w:rPr>
      </w:pPr>
      <w:r w:rsidRPr="008655D3">
        <w:rPr>
          <w:rFonts w:ascii="Times New Roman" w:hAnsi="Times New Roman" w:cs="Times New Roman"/>
          <w:b/>
          <w:bCs/>
        </w:rPr>
        <w:t>Safety Management: Enhancing Risk Mitigation and Compliance</w:t>
      </w:r>
    </w:p>
    <w:p w14:paraId="3EEA7BBE" w14:textId="171C9BE5" w:rsidR="00900D4C" w:rsidRPr="00900D4C" w:rsidRDefault="00F21C76" w:rsidP="00900D4C">
      <w:pPr>
        <w:jc w:val="both"/>
        <w:rPr>
          <w:rFonts w:ascii="Times New Roman" w:hAnsi="Times New Roman" w:cs="Times New Roman"/>
        </w:rPr>
      </w:pPr>
      <w:r>
        <w:rPr>
          <w:rFonts w:ascii="Times New Roman" w:hAnsi="Times New Roman" w:cs="Times New Roman"/>
        </w:rPr>
        <w:t>S</w:t>
      </w:r>
      <w:r w:rsidR="00900D4C" w:rsidRPr="00900D4C">
        <w:rPr>
          <w:rFonts w:ascii="Times New Roman" w:hAnsi="Times New Roman" w:cs="Times New Roman"/>
        </w:rPr>
        <w:t xml:space="preserve">afety </w:t>
      </w:r>
      <w:r w:rsidR="008655D3" w:rsidRPr="00900D4C">
        <w:rPr>
          <w:rFonts w:ascii="Times New Roman" w:hAnsi="Times New Roman" w:cs="Times New Roman"/>
        </w:rPr>
        <w:t>management and</w:t>
      </w:r>
      <w:r w:rsidR="00900D4C" w:rsidRPr="00900D4C">
        <w:rPr>
          <w:rFonts w:ascii="Times New Roman" w:hAnsi="Times New Roman" w:cs="Times New Roman"/>
        </w:rPr>
        <w:t xml:space="preserve"> ERP-integrated BI systems play a pivotal role in mitigating occupational hazards and ensuring regulatory compliance. Wearable devices and environmental sensors provide real-time data, enabling immediate alerts when hazardous conditions arise. Consequently, organizations can implement corrective actions to prevent workplace accidents. Historical safety data analysis further aids in identifying recurring risk factors and emerging trends, supporting the development of proactive safety measures such as revised standard operating procedures and targeted safety training programs.</w:t>
      </w:r>
    </w:p>
    <w:p w14:paraId="449A054F" w14:textId="77777777" w:rsidR="00900D4C" w:rsidRPr="00900D4C" w:rsidRDefault="00900D4C" w:rsidP="00900D4C">
      <w:pPr>
        <w:jc w:val="both"/>
        <w:rPr>
          <w:rFonts w:ascii="Times New Roman" w:hAnsi="Times New Roman" w:cs="Times New Roman"/>
        </w:rPr>
      </w:pPr>
      <w:r w:rsidRPr="00900D4C">
        <w:rPr>
          <w:rFonts w:ascii="Times New Roman" w:hAnsi="Times New Roman" w:cs="Times New Roman"/>
        </w:rPr>
        <w:t xml:space="preserve">Additionally, operational BI within ERP systems strengthens supply chain logistics through predictive modeling, identifying potential disruptions and suggesting alternative solutions. This capability is particularly beneficial in remote mining locations, where logistical inefficiencies </w:t>
      </w:r>
      <w:r w:rsidRPr="00900D4C">
        <w:rPr>
          <w:rFonts w:ascii="Times New Roman" w:hAnsi="Times New Roman" w:cs="Times New Roman"/>
        </w:rPr>
        <w:lastRenderedPageBreak/>
        <w:t>often lead to operational bottlenecks. Environmental compliance is also reinforced through continuous monitoring of critical parameters, including emissions and water consumption. Automated alerts, triggered when predefined thresholds are exceeded, ensure adherence to regulatory standards while advancing sustainability initiatives aimed at minimizing the environmental footprint of mining operations.</w:t>
      </w:r>
    </w:p>
    <w:p w14:paraId="63CA8702" w14:textId="77777777" w:rsidR="00900D4C" w:rsidRPr="00900D4C" w:rsidRDefault="00900D4C" w:rsidP="00900D4C">
      <w:pPr>
        <w:jc w:val="both"/>
        <w:rPr>
          <w:rFonts w:ascii="Times New Roman" w:hAnsi="Times New Roman" w:cs="Times New Roman"/>
        </w:rPr>
      </w:pPr>
    </w:p>
    <w:p w14:paraId="6BAA335D" w14:textId="77777777" w:rsidR="00900D4C" w:rsidRPr="008655D3" w:rsidRDefault="00900D4C" w:rsidP="00900D4C">
      <w:pPr>
        <w:jc w:val="both"/>
        <w:rPr>
          <w:rFonts w:ascii="Times New Roman" w:hAnsi="Times New Roman" w:cs="Times New Roman"/>
          <w:b/>
          <w:bCs/>
        </w:rPr>
      </w:pPr>
      <w:r w:rsidRPr="008655D3">
        <w:rPr>
          <w:rFonts w:ascii="Times New Roman" w:hAnsi="Times New Roman" w:cs="Times New Roman"/>
          <w:b/>
          <w:bCs/>
        </w:rPr>
        <w:t>The Strategic Integration of ERP and Business Intelligence for Data-Driven Decision-Making</w:t>
      </w:r>
    </w:p>
    <w:p w14:paraId="7B81563E" w14:textId="4049F2C5" w:rsidR="00900D4C" w:rsidRDefault="00900D4C" w:rsidP="00900D4C">
      <w:pPr>
        <w:jc w:val="both"/>
        <w:rPr>
          <w:rFonts w:ascii="Times New Roman" w:hAnsi="Times New Roman" w:cs="Times New Roman"/>
        </w:rPr>
      </w:pPr>
      <w:r w:rsidRPr="00900D4C">
        <w:rPr>
          <w:rFonts w:ascii="Times New Roman" w:hAnsi="Times New Roman" w:cs="Times New Roman"/>
        </w:rPr>
        <w:t xml:space="preserve">A fundamental enabler of operational BI in the mining sector is the structured transformation of data within ERP systems. The ERP framework consolidates key operational functions, acting as a central repository for data collection, processing, and dissemination. </w:t>
      </w:r>
      <w:r w:rsidR="008655D3" w:rsidRPr="00900D4C">
        <w:rPr>
          <w:rFonts w:ascii="Times New Roman" w:hAnsi="Times New Roman" w:cs="Times New Roman"/>
        </w:rPr>
        <w:t xml:space="preserve">Figure </w:t>
      </w:r>
      <w:r w:rsidR="008655D3">
        <w:rPr>
          <w:rFonts w:ascii="Times New Roman" w:hAnsi="Times New Roman" w:cs="Times New Roman"/>
        </w:rPr>
        <w:t>(</w:t>
      </w:r>
      <w:r w:rsidRPr="00900D4C">
        <w:rPr>
          <w:rFonts w:ascii="Times New Roman" w:hAnsi="Times New Roman" w:cs="Times New Roman"/>
        </w:rPr>
        <w:t>see below) illustrates the structured data collection methodology adopted, facilitated through a no-code ERP system that optimizes data management and enhances decision-making processes.</w:t>
      </w:r>
    </w:p>
    <w:p w14:paraId="2BD67240" w14:textId="5E2172D5" w:rsidR="00900D4C" w:rsidRPr="00900D4C" w:rsidRDefault="008655D3" w:rsidP="00900D4C">
      <w:pPr>
        <w:jc w:val="both"/>
        <w:rPr>
          <w:rFonts w:ascii="Times New Roman" w:hAnsi="Times New Roman" w:cs="Times New Roman"/>
        </w:rPr>
      </w:pPr>
      <w:r w:rsidRPr="003E521F">
        <w:rPr>
          <w:rFonts w:ascii="Times New Roman" w:hAnsi="Times New Roman" w:cs="Times New Roman"/>
          <w:noProof/>
          <w:sz w:val="22"/>
          <w:szCs w:val="22"/>
        </w:rPr>
        <w:lastRenderedPageBreak/>
        <w:drawing>
          <wp:inline distT="0" distB="0" distL="0" distR="0" wp14:anchorId="42C1732F" wp14:editId="4CCA528E">
            <wp:extent cx="5943600" cy="5615344"/>
            <wp:effectExtent l="0" t="0" r="0" b="4445"/>
            <wp:docPr id="105167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72999" name="Picture 1"/>
                    <pic:cNvPicPr>
                      <a:picLocks noChangeAspect="1" noChangeArrowheads="1"/>
                    </pic:cNvPicPr>
                  </pic:nvPicPr>
                  <pic:blipFill>
                    <a:blip r:embed="rId5">
                      <a:extLst>
                        <a:ext uri="{96DAC541-7B7A-43D3-8B79-37D633B846F1}">
                          <asvg:svgBlip xmlns:asvg="http://schemas.microsoft.com/office/drawing/2016/SVG/main" r:embed="rId6"/>
                        </a:ext>
                      </a:extLst>
                    </a:blip>
                    <a:stretch>
                      <a:fillRect/>
                    </a:stretch>
                  </pic:blipFill>
                  <pic:spPr bwMode="auto">
                    <a:xfrm>
                      <a:off x="0" y="0"/>
                      <a:ext cx="5943600" cy="5615344"/>
                    </a:xfrm>
                    <a:prstGeom prst="rect">
                      <a:avLst/>
                    </a:prstGeom>
                  </pic:spPr>
                </pic:pic>
              </a:graphicData>
            </a:graphic>
          </wp:inline>
        </w:drawing>
      </w:r>
    </w:p>
    <w:p w14:paraId="0E7C0197" w14:textId="44CBEBCA" w:rsidR="00900D4C" w:rsidRPr="00900D4C" w:rsidRDefault="00900D4C" w:rsidP="00900D4C">
      <w:pPr>
        <w:jc w:val="both"/>
        <w:rPr>
          <w:rFonts w:ascii="Times New Roman" w:hAnsi="Times New Roman" w:cs="Times New Roman"/>
        </w:rPr>
      </w:pPr>
      <w:r w:rsidRPr="00900D4C">
        <w:rPr>
          <w:rFonts w:ascii="Times New Roman" w:hAnsi="Times New Roman" w:cs="Times New Roman"/>
        </w:rPr>
        <w:t>This approach incorporates a multi-role user structure to streamline workflow and ensure the efficient delegation of responsibilities:</w:t>
      </w:r>
    </w:p>
    <w:p w14:paraId="4655A44B" w14:textId="77777777" w:rsidR="00900D4C" w:rsidRPr="008655D3" w:rsidRDefault="00900D4C" w:rsidP="008655D3">
      <w:pPr>
        <w:pStyle w:val="ListParagraph"/>
        <w:numPr>
          <w:ilvl w:val="0"/>
          <w:numId w:val="2"/>
        </w:numPr>
        <w:jc w:val="both"/>
        <w:rPr>
          <w:rFonts w:ascii="Times New Roman" w:hAnsi="Times New Roman" w:cs="Times New Roman"/>
        </w:rPr>
      </w:pPr>
      <w:r w:rsidRPr="008655D3">
        <w:rPr>
          <w:rFonts w:ascii="Times New Roman" w:hAnsi="Times New Roman" w:cs="Times New Roman"/>
        </w:rPr>
        <w:t>Data Collector: Captures operational data in real time, ensuring continuous information flow.</w:t>
      </w:r>
    </w:p>
    <w:p w14:paraId="5E8CB20D" w14:textId="77777777" w:rsidR="00900D4C" w:rsidRPr="008655D3" w:rsidRDefault="00900D4C" w:rsidP="008655D3">
      <w:pPr>
        <w:pStyle w:val="ListParagraph"/>
        <w:numPr>
          <w:ilvl w:val="0"/>
          <w:numId w:val="2"/>
        </w:numPr>
        <w:jc w:val="both"/>
        <w:rPr>
          <w:rFonts w:ascii="Times New Roman" w:hAnsi="Times New Roman" w:cs="Times New Roman"/>
        </w:rPr>
      </w:pPr>
      <w:r w:rsidRPr="008655D3">
        <w:rPr>
          <w:rFonts w:ascii="Times New Roman" w:hAnsi="Times New Roman" w:cs="Times New Roman"/>
        </w:rPr>
        <w:t>Administrator: Validates and processes data, maintaining accuracy, consistency, and integrity before integration into the BI system.</w:t>
      </w:r>
    </w:p>
    <w:p w14:paraId="569790A3" w14:textId="77777777" w:rsidR="00900D4C" w:rsidRPr="008655D3" w:rsidRDefault="00900D4C" w:rsidP="008655D3">
      <w:pPr>
        <w:pStyle w:val="ListParagraph"/>
        <w:numPr>
          <w:ilvl w:val="0"/>
          <w:numId w:val="2"/>
        </w:numPr>
        <w:jc w:val="both"/>
        <w:rPr>
          <w:rFonts w:ascii="Times New Roman" w:hAnsi="Times New Roman" w:cs="Times New Roman"/>
        </w:rPr>
      </w:pPr>
      <w:r w:rsidRPr="008655D3">
        <w:rPr>
          <w:rFonts w:ascii="Times New Roman" w:hAnsi="Times New Roman" w:cs="Times New Roman"/>
        </w:rPr>
        <w:t>Master Administrator: Oversees user access control, account administration, and system governance to uphold data security and operational efficiency.</w:t>
      </w:r>
    </w:p>
    <w:p w14:paraId="133CCFBD" w14:textId="0F9496FB" w:rsidR="00900D4C" w:rsidRDefault="00900D4C" w:rsidP="00900D4C">
      <w:pPr>
        <w:jc w:val="both"/>
        <w:rPr>
          <w:rFonts w:ascii="Times New Roman" w:hAnsi="Times New Roman" w:cs="Times New Roman"/>
        </w:rPr>
      </w:pPr>
      <w:r w:rsidRPr="00900D4C">
        <w:rPr>
          <w:rFonts w:ascii="Times New Roman" w:hAnsi="Times New Roman" w:cs="Times New Roman"/>
        </w:rPr>
        <w:t xml:space="preserve">This structured division of labor minimizes redundancy errors, enhances accountability, and optimizes user role management. Furthermore, the integration of ERP with BI systems enables </w:t>
      </w:r>
      <w:r w:rsidRPr="00900D4C">
        <w:rPr>
          <w:rFonts w:ascii="Times New Roman" w:hAnsi="Times New Roman" w:cs="Times New Roman"/>
        </w:rPr>
        <w:lastRenderedPageBreak/>
        <w:t>real-time data visualization, providing actionable insights that drive informed decision-making across mining operations.</w:t>
      </w:r>
    </w:p>
    <w:p w14:paraId="6C8242B0" w14:textId="77777777" w:rsidR="004D0FD8" w:rsidRPr="00B73638" w:rsidRDefault="004D0FD8" w:rsidP="004D0FD8">
      <w:pPr>
        <w:rPr>
          <w:b/>
          <w:bCs/>
        </w:rPr>
      </w:pPr>
      <w:r w:rsidRPr="00B73638">
        <w:rPr>
          <w:b/>
          <w:bCs/>
        </w:rPr>
        <w:t>DIGITAL CIRCULARITY WITHIN THE MINING SECTOR</w:t>
      </w:r>
    </w:p>
    <w:p w14:paraId="5C4541DD" w14:textId="3D52CF7E" w:rsidR="004D0FD8" w:rsidRDefault="004D0FD8" w:rsidP="004D0FD8">
      <w:pPr>
        <w:jc w:val="both"/>
      </w:pPr>
      <w:r>
        <w:t>The unit operational process forms the fundamental building block within the mining value chain. Modern mining techniques in recent years have started advancing towards a circular transfer and exchange of data within these operational processes such that the overall mine value chain processes become a centric process. This modern paradigm has necessitated the use of automatic tool sets in data gathering to facilitate the transfer and re-use of input and output streams from one process level at the unit operational value chain process to the next or subsequent operational process. The possibility of achieving such an outcome has a result that far supersedes expectations, feasible in the overall increase in throughput within the mining sector, and a gross increase in Net Present Value (NPV). Furthermore, this digital circularity brings about a sustainable practice and ESG compliance, a growing concern in modern day extraction and societal compliance. A summary of this digital circularity mapping</w:t>
      </w:r>
      <w:r w:rsidR="006E3D27">
        <w:t xml:space="preserve"> that uses the No-code low code ERP in its data exchange and transfer,</w:t>
      </w:r>
      <w:r>
        <w:t xml:space="preserve"> where the input and recyclable output from one operational process constantly being transferred and/or exchanged between different process activities is illustrated in </w:t>
      </w:r>
      <w:r>
        <w:fldChar w:fldCharType="begin"/>
      </w:r>
      <w:r>
        <w:instrText xml:space="preserve"> REF _Ref190198577 \h </w:instrText>
      </w:r>
      <w:r>
        <w:fldChar w:fldCharType="separate"/>
      </w:r>
      <w:r>
        <w:t xml:space="preserve">Figure </w:t>
      </w:r>
      <w:r>
        <w:rPr>
          <w:noProof/>
        </w:rPr>
        <w:t>1</w:t>
      </w:r>
      <w:r>
        <w:fldChar w:fldCharType="end"/>
      </w:r>
      <w:r>
        <w:t xml:space="preserve"> below.</w:t>
      </w:r>
    </w:p>
    <w:p w14:paraId="67FC92B9" w14:textId="77777777" w:rsidR="004D0FD8" w:rsidRDefault="004D0FD8" w:rsidP="004D0FD8">
      <w:pPr>
        <w:jc w:val="both"/>
      </w:pPr>
    </w:p>
    <w:p w14:paraId="5F95C26F" w14:textId="77777777" w:rsidR="004D0FD8" w:rsidRDefault="004D0FD8" w:rsidP="004D0FD8">
      <w:pPr>
        <w:keepNext/>
        <w:jc w:val="both"/>
      </w:pPr>
      <w:r w:rsidRPr="0019508C">
        <w:rPr>
          <w:noProof/>
        </w:rPr>
        <w:drawing>
          <wp:inline distT="0" distB="0" distL="0" distR="0" wp14:anchorId="0EAD26A0" wp14:editId="23AF936E">
            <wp:extent cx="5943600" cy="3430270"/>
            <wp:effectExtent l="0" t="0" r="0" b="0"/>
            <wp:docPr id="1542756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p>
    <w:p w14:paraId="036A225B" w14:textId="266F8F8F" w:rsidR="007B731E" w:rsidRDefault="004D0FD8" w:rsidP="004D0FD8">
      <w:pPr>
        <w:pStyle w:val="Caption"/>
        <w:jc w:val="center"/>
      </w:pPr>
      <w:bookmarkStart w:id="0" w:name="_Ref190198577"/>
      <w:r>
        <w:t xml:space="preserve">Figure </w:t>
      </w:r>
      <w:r>
        <w:fldChar w:fldCharType="begin"/>
      </w:r>
      <w:r>
        <w:instrText xml:space="preserve"> SEQ Figure \* ARABIC </w:instrText>
      </w:r>
      <w:r>
        <w:fldChar w:fldCharType="separate"/>
      </w:r>
      <w:r>
        <w:rPr>
          <w:noProof/>
        </w:rPr>
        <w:t>1</w:t>
      </w:r>
      <w:r>
        <w:fldChar w:fldCharType="end"/>
      </w:r>
      <w:bookmarkEnd w:id="0"/>
      <w:r>
        <w:t xml:space="preserve"> Data transfer and exchange within the mining operational processes.</w:t>
      </w:r>
    </w:p>
    <w:sectPr w:rsidR="007B73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135CC"/>
    <w:multiLevelType w:val="hybridMultilevel"/>
    <w:tmpl w:val="BBCE71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F4726E"/>
    <w:multiLevelType w:val="hybridMultilevel"/>
    <w:tmpl w:val="7FE2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5588998">
    <w:abstractNumId w:val="0"/>
  </w:num>
  <w:num w:numId="2" w16cid:durableId="10367351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BB3"/>
    <w:rsid w:val="000118FD"/>
    <w:rsid w:val="00064F4A"/>
    <w:rsid w:val="00191924"/>
    <w:rsid w:val="00270BB3"/>
    <w:rsid w:val="003253E8"/>
    <w:rsid w:val="00350018"/>
    <w:rsid w:val="003E57C2"/>
    <w:rsid w:val="00466050"/>
    <w:rsid w:val="004D0FD8"/>
    <w:rsid w:val="006E3D27"/>
    <w:rsid w:val="007B731E"/>
    <w:rsid w:val="00863254"/>
    <w:rsid w:val="008655D3"/>
    <w:rsid w:val="00865744"/>
    <w:rsid w:val="008F2AF5"/>
    <w:rsid w:val="00900D4C"/>
    <w:rsid w:val="00971308"/>
    <w:rsid w:val="00A110E6"/>
    <w:rsid w:val="00A13DF7"/>
    <w:rsid w:val="00A75694"/>
    <w:rsid w:val="00B77AA1"/>
    <w:rsid w:val="00D373A5"/>
    <w:rsid w:val="00D6468D"/>
    <w:rsid w:val="00E9386D"/>
    <w:rsid w:val="00EA3415"/>
    <w:rsid w:val="00F1784B"/>
    <w:rsid w:val="00F21C76"/>
    <w:rsid w:val="00F67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A15A0"/>
  <w15:chartTrackingRefBased/>
  <w15:docId w15:val="{A30EB6B7-992B-4E3C-807C-68E86CCE8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0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0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0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0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0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0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0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0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0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0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0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0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0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0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0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0BB3"/>
    <w:rPr>
      <w:rFonts w:eastAsiaTheme="majorEastAsia" w:cstheme="majorBidi"/>
      <w:color w:val="272727" w:themeColor="text1" w:themeTint="D8"/>
    </w:rPr>
  </w:style>
  <w:style w:type="paragraph" w:styleId="Title">
    <w:name w:val="Title"/>
    <w:basedOn w:val="Normal"/>
    <w:next w:val="Normal"/>
    <w:link w:val="TitleChar"/>
    <w:uiPriority w:val="10"/>
    <w:qFormat/>
    <w:rsid w:val="00270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0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0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0BB3"/>
    <w:pPr>
      <w:spacing w:before="160"/>
      <w:jc w:val="center"/>
    </w:pPr>
    <w:rPr>
      <w:i/>
      <w:iCs/>
      <w:color w:val="404040" w:themeColor="text1" w:themeTint="BF"/>
    </w:rPr>
  </w:style>
  <w:style w:type="character" w:customStyle="1" w:styleId="QuoteChar">
    <w:name w:val="Quote Char"/>
    <w:basedOn w:val="DefaultParagraphFont"/>
    <w:link w:val="Quote"/>
    <w:uiPriority w:val="29"/>
    <w:rsid w:val="00270BB3"/>
    <w:rPr>
      <w:i/>
      <w:iCs/>
      <w:color w:val="404040" w:themeColor="text1" w:themeTint="BF"/>
    </w:rPr>
  </w:style>
  <w:style w:type="paragraph" w:styleId="ListParagraph">
    <w:name w:val="List Paragraph"/>
    <w:basedOn w:val="Normal"/>
    <w:uiPriority w:val="34"/>
    <w:qFormat/>
    <w:rsid w:val="00270BB3"/>
    <w:pPr>
      <w:ind w:left="720"/>
      <w:contextualSpacing/>
    </w:pPr>
  </w:style>
  <w:style w:type="character" w:styleId="IntenseEmphasis">
    <w:name w:val="Intense Emphasis"/>
    <w:basedOn w:val="DefaultParagraphFont"/>
    <w:uiPriority w:val="21"/>
    <w:qFormat/>
    <w:rsid w:val="00270BB3"/>
    <w:rPr>
      <w:i/>
      <w:iCs/>
      <w:color w:val="0F4761" w:themeColor="accent1" w:themeShade="BF"/>
    </w:rPr>
  </w:style>
  <w:style w:type="paragraph" w:styleId="IntenseQuote">
    <w:name w:val="Intense Quote"/>
    <w:basedOn w:val="Normal"/>
    <w:next w:val="Normal"/>
    <w:link w:val="IntenseQuoteChar"/>
    <w:uiPriority w:val="30"/>
    <w:qFormat/>
    <w:rsid w:val="00270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0BB3"/>
    <w:rPr>
      <w:i/>
      <w:iCs/>
      <w:color w:val="0F4761" w:themeColor="accent1" w:themeShade="BF"/>
    </w:rPr>
  </w:style>
  <w:style w:type="character" w:styleId="IntenseReference">
    <w:name w:val="Intense Reference"/>
    <w:basedOn w:val="DefaultParagraphFont"/>
    <w:uiPriority w:val="32"/>
    <w:qFormat/>
    <w:rsid w:val="00270BB3"/>
    <w:rPr>
      <w:b/>
      <w:bCs/>
      <w:smallCaps/>
      <w:color w:val="0F4761" w:themeColor="accent1" w:themeShade="BF"/>
      <w:spacing w:val="5"/>
    </w:rPr>
  </w:style>
  <w:style w:type="paragraph" w:styleId="Caption">
    <w:name w:val="caption"/>
    <w:basedOn w:val="Normal"/>
    <w:next w:val="Normal"/>
    <w:uiPriority w:val="35"/>
    <w:unhideWhenUsed/>
    <w:qFormat/>
    <w:rsid w:val="004D0FD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518221">
      <w:bodyDiv w:val="1"/>
      <w:marLeft w:val="0"/>
      <w:marRight w:val="0"/>
      <w:marTop w:val="0"/>
      <w:marBottom w:val="0"/>
      <w:divBdr>
        <w:top w:val="none" w:sz="0" w:space="0" w:color="auto"/>
        <w:left w:val="none" w:sz="0" w:space="0" w:color="auto"/>
        <w:bottom w:val="none" w:sz="0" w:space="0" w:color="auto"/>
        <w:right w:val="none" w:sz="0" w:space="0" w:color="auto"/>
      </w:divBdr>
    </w:div>
    <w:div w:id="273175910">
      <w:bodyDiv w:val="1"/>
      <w:marLeft w:val="0"/>
      <w:marRight w:val="0"/>
      <w:marTop w:val="0"/>
      <w:marBottom w:val="0"/>
      <w:divBdr>
        <w:top w:val="none" w:sz="0" w:space="0" w:color="auto"/>
        <w:left w:val="none" w:sz="0" w:space="0" w:color="auto"/>
        <w:bottom w:val="none" w:sz="0" w:space="0" w:color="auto"/>
        <w:right w:val="none" w:sz="0" w:space="0" w:color="auto"/>
      </w:divBdr>
    </w:div>
    <w:div w:id="860358043">
      <w:bodyDiv w:val="1"/>
      <w:marLeft w:val="0"/>
      <w:marRight w:val="0"/>
      <w:marTop w:val="0"/>
      <w:marBottom w:val="0"/>
      <w:divBdr>
        <w:top w:val="none" w:sz="0" w:space="0" w:color="auto"/>
        <w:left w:val="none" w:sz="0" w:space="0" w:color="auto"/>
        <w:bottom w:val="none" w:sz="0" w:space="0" w:color="auto"/>
        <w:right w:val="none" w:sz="0" w:space="0" w:color="auto"/>
      </w:divBdr>
    </w:div>
    <w:div w:id="888417837">
      <w:bodyDiv w:val="1"/>
      <w:marLeft w:val="0"/>
      <w:marRight w:val="0"/>
      <w:marTop w:val="0"/>
      <w:marBottom w:val="0"/>
      <w:divBdr>
        <w:top w:val="none" w:sz="0" w:space="0" w:color="auto"/>
        <w:left w:val="none" w:sz="0" w:space="0" w:color="auto"/>
        <w:bottom w:val="none" w:sz="0" w:space="0" w:color="auto"/>
        <w:right w:val="none" w:sz="0" w:space="0" w:color="auto"/>
      </w:divBdr>
    </w:div>
    <w:div w:id="1162896264">
      <w:bodyDiv w:val="1"/>
      <w:marLeft w:val="0"/>
      <w:marRight w:val="0"/>
      <w:marTop w:val="0"/>
      <w:marBottom w:val="0"/>
      <w:divBdr>
        <w:top w:val="none" w:sz="0" w:space="0" w:color="auto"/>
        <w:left w:val="none" w:sz="0" w:space="0" w:color="auto"/>
        <w:bottom w:val="none" w:sz="0" w:space="0" w:color="auto"/>
        <w:right w:val="none" w:sz="0" w:space="0" w:color="auto"/>
      </w:divBdr>
    </w:div>
    <w:div w:id="1277954905">
      <w:bodyDiv w:val="1"/>
      <w:marLeft w:val="0"/>
      <w:marRight w:val="0"/>
      <w:marTop w:val="0"/>
      <w:marBottom w:val="0"/>
      <w:divBdr>
        <w:top w:val="none" w:sz="0" w:space="0" w:color="auto"/>
        <w:left w:val="none" w:sz="0" w:space="0" w:color="auto"/>
        <w:bottom w:val="none" w:sz="0" w:space="0" w:color="auto"/>
        <w:right w:val="none" w:sz="0" w:space="0" w:color="auto"/>
      </w:divBdr>
    </w:div>
    <w:div w:id="174675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135</TotalTime>
  <Pages>4</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Tshukudu, Christian</dc:creator>
  <cp:keywords/>
  <dc:description/>
  <cp:lastModifiedBy>Rajour Jumfan Fabchi</cp:lastModifiedBy>
  <cp:revision>11</cp:revision>
  <dcterms:created xsi:type="dcterms:W3CDTF">2025-02-11T16:38:00Z</dcterms:created>
  <dcterms:modified xsi:type="dcterms:W3CDTF">2025-02-11T19:05:00Z</dcterms:modified>
</cp:coreProperties>
</file>