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51" w:rsidRPr="00601651" w:rsidRDefault="00601651">
      <w:pPr>
        <w:rPr>
          <w:b/>
          <w:color w:val="C00000"/>
          <w:sz w:val="32"/>
        </w:rPr>
      </w:pPr>
      <w:r w:rsidRPr="00601651">
        <w:rPr>
          <w:b/>
          <w:color w:val="C00000"/>
          <w:sz w:val="32"/>
        </w:rPr>
        <w:t xml:space="preserve">Traccia: </w:t>
      </w:r>
    </w:p>
    <w:p w:rsidR="00601651" w:rsidRPr="00601651" w:rsidRDefault="00601651">
      <w:pPr>
        <w:rPr>
          <w:color w:val="C00000"/>
          <w:sz w:val="32"/>
        </w:rPr>
      </w:pPr>
      <w:r w:rsidRPr="00601651">
        <w:rPr>
          <w:color w:val="C00000"/>
          <w:sz w:val="32"/>
        </w:rPr>
        <w:t xml:space="preserve">Con riferimento al file eseguibile contenuto nella cartella «Esercizio_Pratico_U3_W2_L1» presente sul Desktop della vostra macchina virtuale dedicata all’analisi dei malware, rispondere ai seguenti quesiti: </w:t>
      </w:r>
    </w:p>
    <w:p w:rsidR="00601651" w:rsidRPr="00601651" w:rsidRDefault="00601651">
      <w:pPr>
        <w:rPr>
          <w:color w:val="C00000"/>
          <w:sz w:val="32"/>
        </w:rPr>
      </w:pPr>
      <w:r w:rsidRPr="00601651">
        <w:rPr>
          <w:color w:val="C00000"/>
          <w:sz w:val="32"/>
        </w:rPr>
        <w:t xml:space="preserve">• Indicare le </w:t>
      </w:r>
      <w:r w:rsidRPr="00601651">
        <w:rPr>
          <w:b/>
          <w:color w:val="C00000"/>
          <w:sz w:val="32"/>
        </w:rPr>
        <w:t>librerie</w:t>
      </w:r>
      <w:r w:rsidRPr="00601651">
        <w:rPr>
          <w:color w:val="C00000"/>
          <w:sz w:val="32"/>
        </w:rPr>
        <w:t xml:space="preserve"> importate dal malware, fornendo una descrizione</w:t>
      </w:r>
      <w:r w:rsidRPr="00601651">
        <w:rPr>
          <w:color w:val="C00000"/>
          <w:sz w:val="32"/>
        </w:rPr>
        <w:t xml:space="preserve"> </w:t>
      </w:r>
      <w:r w:rsidRPr="00601651">
        <w:rPr>
          <w:color w:val="C00000"/>
          <w:sz w:val="32"/>
        </w:rPr>
        <w:t>per ognuna di esse</w:t>
      </w:r>
      <w:r w:rsidRPr="00601651">
        <w:rPr>
          <w:color w:val="C00000"/>
          <w:sz w:val="32"/>
        </w:rPr>
        <w:t>;</w:t>
      </w:r>
      <w:r w:rsidRPr="00601651">
        <w:rPr>
          <w:color w:val="C00000"/>
          <w:sz w:val="32"/>
        </w:rPr>
        <w:t xml:space="preserve"> </w:t>
      </w:r>
    </w:p>
    <w:p w:rsidR="00601651" w:rsidRPr="00601651" w:rsidRDefault="00601651">
      <w:pPr>
        <w:rPr>
          <w:color w:val="C00000"/>
          <w:sz w:val="32"/>
        </w:rPr>
      </w:pPr>
      <w:r w:rsidRPr="00601651">
        <w:rPr>
          <w:color w:val="C00000"/>
          <w:sz w:val="32"/>
        </w:rPr>
        <w:t xml:space="preserve">• Indicare le </w:t>
      </w:r>
      <w:r w:rsidRPr="00601651">
        <w:rPr>
          <w:b/>
          <w:color w:val="C00000"/>
          <w:sz w:val="32"/>
        </w:rPr>
        <w:t>sezioni</w:t>
      </w:r>
      <w:r w:rsidRPr="00601651">
        <w:rPr>
          <w:color w:val="C00000"/>
          <w:sz w:val="32"/>
        </w:rPr>
        <w:t xml:space="preserve"> </w:t>
      </w:r>
      <w:r w:rsidRPr="00601651">
        <w:rPr>
          <w:color w:val="C00000"/>
          <w:sz w:val="32"/>
        </w:rPr>
        <w:t>di cui si compone il malware, fornendo una descrizione</w:t>
      </w:r>
      <w:r w:rsidRPr="00601651">
        <w:rPr>
          <w:color w:val="C00000"/>
          <w:sz w:val="32"/>
        </w:rPr>
        <w:t xml:space="preserve"> </w:t>
      </w:r>
      <w:r w:rsidRPr="00601651">
        <w:rPr>
          <w:color w:val="C00000"/>
          <w:sz w:val="32"/>
        </w:rPr>
        <w:t>per ognuna di essa</w:t>
      </w:r>
      <w:r w:rsidRPr="00601651">
        <w:rPr>
          <w:color w:val="C00000"/>
          <w:sz w:val="32"/>
        </w:rPr>
        <w:t>;</w:t>
      </w:r>
      <w:r w:rsidRPr="00601651">
        <w:rPr>
          <w:color w:val="C00000"/>
          <w:sz w:val="32"/>
        </w:rPr>
        <w:t xml:space="preserve"> </w:t>
      </w:r>
    </w:p>
    <w:p w:rsidR="001516D1" w:rsidRDefault="00601651">
      <w:pPr>
        <w:rPr>
          <w:color w:val="C00000"/>
          <w:sz w:val="32"/>
        </w:rPr>
      </w:pPr>
      <w:r w:rsidRPr="00601651">
        <w:rPr>
          <w:color w:val="C00000"/>
          <w:sz w:val="32"/>
        </w:rPr>
        <w:t>• Aggiungere una considerazione finale sul malware in analisi in base alle informazioni raccolte</w:t>
      </w:r>
      <w:r w:rsidRPr="00601651">
        <w:rPr>
          <w:color w:val="C00000"/>
          <w:sz w:val="32"/>
        </w:rPr>
        <w:t>.</w:t>
      </w:r>
    </w:p>
    <w:p w:rsidR="00601651" w:rsidRDefault="00601651">
      <w:pPr>
        <w:rPr>
          <w:color w:val="C00000"/>
          <w:sz w:val="32"/>
        </w:rPr>
      </w:pPr>
    </w:p>
    <w:p w:rsidR="00601651" w:rsidRDefault="008C352B">
      <w:pPr>
        <w:rPr>
          <w:color w:val="404040" w:themeColor="text1" w:themeTint="BF"/>
          <w:sz w:val="28"/>
        </w:rPr>
      </w:pPr>
      <w:r>
        <w:rPr>
          <w:color w:val="404040" w:themeColor="text1" w:themeTint="BF"/>
          <w:sz w:val="28"/>
        </w:rPr>
        <w:t>Prima di tutto è importante fare alcune considerazioni per comprendere meglio l’esecuzione dell’esercizio che stiamo andando a svolgere.</w:t>
      </w:r>
    </w:p>
    <w:p w:rsidR="008C352B" w:rsidRPr="008C352B" w:rsidRDefault="008C352B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color w:val="404040" w:themeColor="text1" w:themeTint="BF"/>
          <w:sz w:val="28"/>
        </w:rPr>
        <w:t xml:space="preserve">In informatica per </w:t>
      </w:r>
      <w:r w:rsidRPr="008C352B">
        <w:rPr>
          <w:b/>
          <w:color w:val="404040" w:themeColor="text1" w:themeTint="BF"/>
          <w:sz w:val="28"/>
        </w:rPr>
        <w:t>PE</w:t>
      </w:r>
      <w:r>
        <w:rPr>
          <w:color w:val="404040" w:themeColor="text1" w:themeTint="BF"/>
          <w:sz w:val="28"/>
        </w:rPr>
        <w:t xml:space="preserve"> si intende </w:t>
      </w:r>
      <w:r w:rsidRPr="008C352B">
        <w:rPr>
          <w:rFonts w:cstheme="minorHAnsi"/>
          <w:color w:val="404040" w:themeColor="text1" w:themeTint="BF"/>
          <w:sz w:val="28"/>
          <w:shd w:val="clear" w:color="auto" w:fill="FFFFFF"/>
        </w:rPr>
        <w:t>un formato di file eseguibile utilizzato principalmente dal sistema operativo Windows.</w:t>
      </w:r>
      <w:r w:rsidRPr="008C352B">
        <w:rPr>
          <w:rFonts w:cstheme="minorHAnsi"/>
          <w:color w:val="404040" w:themeColor="text1" w:themeTint="BF"/>
          <w:sz w:val="36"/>
          <w:shd w:val="clear" w:color="auto" w:fill="FFFFFF"/>
        </w:rPr>
        <w:t xml:space="preserve"> </w:t>
      </w:r>
      <w:r w:rsidRPr="008C352B">
        <w:rPr>
          <w:rFonts w:cstheme="minorHAnsi"/>
          <w:color w:val="404040" w:themeColor="text1" w:themeTint="BF"/>
          <w:sz w:val="28"/>
          <w:shd w:val="clear" w:color="auto" w:fill="FFFFFF"/>
        </w:rPr>
        <w:t xml:space="preserve">Questi file sono strutturati in sezioni, ciascuna delle 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quali contiene dati specifici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necessari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per l'esecuzione del programma.</w:t>
      </w:r>
    </w:p>
    <w:p w:rsidR="008C352B" w:rsidRPr="008C352B" w:rsidRDefault="008C352B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Il formato PE è stato progettato per essere "</w:t>
      </w:r>
      <w:r w:rsidRPr="008C352B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portabile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",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da qui il nome </w:t>
      </w:r>
      <w:r w:rsidRPr="008C352B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Portable Executable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,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il che significa che i file PE possono essere eseguiti su diverse versioni di Windows senza dover essere ricompilati. Questa portabilità è essenziale per garantire la compatibilità delle applicazioni su diverse versioni del sistema operativo Windows.</w:t>
      </w:r>
    </w:p>
    <w:p w:rsidR="008C352B" w:rsidRDefault="008C352B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La parte iniziale di un file eseguibile PE viene detto </w:t>
      </w:r>
      <w:proofErr w:type="spellStart"/>
      <w:r w:rsidRPr="008C352B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Header</w:t>
      </w:r>
      <w:proofErr w:type="spellEnd"/>
      <w:r w:rsidRPr="008C352B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 xml:space="preserve">, 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ed è proprio qui che sono 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cont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enute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informazioni essenziali sulla sua struttura e sui dati contenuti al suo interno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. Ed è proprio questa parte che sarà utile per il corretto svolgimento del nostro esercizio.</w:t>
      </w:r>
    </w:p>
    <w:p w:rsidR="008C352B" w:rsidRDefault="008C352B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Infatti, attraverso l’applicazione </w:t>
      </w:r>
      <w:r w:rsidRPr="008C352B"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>CFF Explorer</w:t>
      </w:r>
      <w:r>
        <w:rPr>
          <w:rFonts w:cstheme="minorHAnsi"/>
          <w:b/>
          <w:color w:val="404040" w:themeColor="text1" w:themeTint="BF"/>
          <w:sz w:val="28"/>
          <w:szCs w:val="28"/>
          <w:shd w:val="clear" w:color="auto" w:fill="FFFFFF"/>
        </w:rPr>
        <w:t xml:space="preserve">, </w:t>
      </w:r>
      <w:r w:rsidRPr="008C352B">
        <w:rPr>
          <w:rFonts w:cstheme="minorHAnsi"/>
          <w:color w:val="404040" w:themeColor="text1" w:themeTint="BF"/>
          <w:sz w:val="28"/>
          <w:shd w:val="clear" w:color="auto" w:fill="FFFFFF"/>
        </w:rPr>
        <w:t>utilizzata per esplorare e analizzare i file eseguibili di Windows, come file EXE, DLL</w:t>
      </w:r>
      <w:r>
        <w:rPr>
          <w:rFonts w:cstheme="minorHAnsi"/>
          <w:color w:val="404040" w:themeColor="text1" w:themeTint="BF"/>
          <w:sz w:val="28"/>
          <w:shd w:val="clear" w:color="auto" w:fill="FFFFFF"/>
        </w:rPr>
        <w:t xml:space="preserve"> </w:t>
      </w:r>
      <w:r w:rsidRPr="008C352B">
        <w:rPr>
          <w:rFonts w:cstheme="minorHAnsi"/>
          <w:color w:val="404040" w:themeColor="text1" w:themeTint="BF"/>
          <w:sz w:val="28"/>
          <w:shd w:val="clear" w:color="auto" w:fill="FFFFFF"/>
        </w:rPr>
        <w:t>e altri</w:t>
      </w:r>
      <w:r>
        <w:rPr>
          <w:rFonts w:cstheme="minorHAnsi"/>
          <w:color w:val="404040" w:themeColor="text1" w:themeTint="BF"/>
          <w:sz w:val="28"/>
          <w:shd w:val="clear" w:color="auto" w:fill="FFFFFF"/>
        </w:rPr>
        <w:t>, potremmo andare ad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8C352B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esaminare la struttura interna dei file binari e comprendere i dettagli di come sono strutturati e come funzionano.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</w:p>
    <w:p w:rsidR="000F4A06" w:rsidRDefault="000F4A06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Quindi andiamo sulla nostra macchina Windows 7 su Virtual Box, e apriamo il nostro file con CFF Explorer:</w:t>
      </w:r>
    </w:p>
    <w:p w:rsidR="000F4A06" w:rsidRDefault="000F4A06">
      <w:pP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</w:pPr>
    </w:p>
    <w:p w:rsidR="000F4A06" w:rsidRDefault="000F4A06" w:rsidP="000F4A06">
      <w:pPr>
        <w:jc w:val="right"/>
        <w:rPr>
          <w:rFonts w:cstheme="minorHAnsi"/>
          <w:color w:val="404040" w:themeColor="text1" w:themeTint="BF"/>
          <w:sz w:val="28"/>
          <w:szCs w:val="28"/>
        </w:rPr>
      </w:pPr>
      <w:r w:rsidRPr="000F4A06">
        <w:rPr>
          <w:rFonts w:cstheme="minorHAnsi"/>
          <w:color w:val="404040" w:themeColor="text1" w:themeTint="BF"/>
          <w:sz w:val="28"/>
          <w:szCs w:val="28"/>
        </w:rPr>
        <w:drawing>
          <wp:inline distT="0" distB="0" distL="0" distR="0" wp14:anchorId="42EE47FB" wp14:editId="557C60C7">
            <wp:extent cx="6391910" cy="5242708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424" cy="52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06" w:rsidRDefault="000F4A06" w:rsidP="000F4A06">
      <w:pPr>
        <w:jc w:val="right"/>
        <w:rPr>
          <w:rFonts w:cstheme="minorHAnsi"/>
          <w:color w:val="404040" w:themeColor="text1" w:themeTint="BF"/>
          <w:sz w:val="28"/>
          <w:szCs w:val="28"/>
        </w:rPr>
      </w:pPr>
    </w:p>
    <w:p w:rsidR="000F4A06" w:rsidRDefault="000F4A06" w:rsidP="000F4A06">
      <w:p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E, andando nella sezione Import Directory del menu a sinistra, rispondiamo alla prima domanda che ci pone l’esercizio, ovvero che tipo di librerie sono importate dal Malware:</w:t>
      </w:r>
    </w:p>
    <w:p w:rsidR="000F4A06" w:rsidRDefault="000F4A06" w:rsidP="000F4A06">
      <w:pPr>
        <w:rPr>
          <w:rFonts w:cstheme="minorHAnsi"/>
          <w:color w:val="404040" w:themeColor="text1" w:themeTint="BF"/>
          <w:sz w:val="28"/>
          <w:szCs w:val="28"/>
        </w:rPr>
      </w:pPr>
    </w:p>
    <w:p w:rsidR="000F4A06" w:rsidRDefault="000F4A06" w:rsidP="000F4A06">
      <w:pPr>
        <w:jc w:val="center"/>
        <w:rPr>
          <w:rFonts w:cstheme="minorHAnsi"/>
          <w:color w:val="404040" w:themeColor="text1" w:themeTint="BF"/>
          <w:sz w:val="28"/>
          <w:szCs w:val="28"/>
        </w:rPr>
      </w:pPr>
      <w:r w:rsidRPr="000F4A06">
        <w:rPr>
          <w:rFonts w:cstheme="minorHAnsi"/>
          <w:color w:val="404040" w:themeColor="text1" w:themeTint="BF"/>
          <w:sz w:val="28"/>
          <w:szCs w:val="28"/>
        </w:rPr>
        <w:drawing>
          <wp:inline distT="0" distB="0" distL="0" distR="0" wp14:anchorId="1963F198" wp14:editId="0711DEAD">
            <wp:extent cx="9488224" cy="3629532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06" w:rsidRDefault="000F4A06" w:rsidP="000F4A06">
      <w:pPr>
        <w:jc w:val="center"/>
        <w:rPr>
          <w:rFonts w:cstheme="minorHAnsi"/>
          <w:color w:val="404040" w:themeColor="text1" w:themeTint="BF"/>
          <w:sz w:val="28"/>
          <w:szCs w:val="28"/>
        </w:rPr>
      </w:pPr>
    </w:p>
    <w:p w:rsidR="000F4A06" w:rsidRDefault="000F4A06" w:rsidP="000F4A06">
      <w:p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color w:val="404040" w:themeColor="text1" w:themeTint="BF"/>
          <w:sz w:val="28"/>
          <w:szCs w:val="28"/>
        </w:rPr>
        <w:t>Nella tabella risultante possiamo vedere quattro tipi di librerie, analizziamole:</w:t>
      </w:r>
    </w:p>
    <w:p w:rsidR="000F4A06" w:rsidRPr="000F4A06" w:rsidRDefault="000F4A06" w:rsidP="000F4A06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28"/>
          <w:szCs w:val="28"/>
        </w:rPr>
      </w:pPr>
      <w:r w:rsidRPr="000F4A06">
        <w:rPr>
          <w:rFonts w:cstheme="minorHAnsi"/>
          <w:b/>
          <w:color w:val="404040" w:themeColor="text1" w:themeTint="BF"/>
          <w:sz w:val="28"/>
          <w:szCs w:val="28"/>
        </w:rPr>
        <w:t>KERNEL32.DLL</w:t>
      </w:r>
      <w:r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Pr="000F4A06">
        <w:rPr>
          <w:rFonts w:cstheme="minorHAnsi"/>
          <w:color w:val="404040" w:themeColor="text1" w:themeTint="BF"/>
          <w:sz w:val="28"/>
          <w:szCs w:val="28"/>
        </w:rPr>
        <w:sym w:font="Wingdings" w:char="F0E0"/>
      </w:r>
      <w:r>
        <w:rPr>
          <w:rFonts w:cstheme="minorHAnsi"/>
          <w:color w:val="404040" w:themeColor="text1" w:themeTint="BF"/>
          <w:sz w:val="28"/>
          <w:szCs w:val="28"/>
        </w:rPr>
        <w:t xml:space="preserve"> 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è una delle librerie di sistema principali di Microsoft Windows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, 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fornisce le </w:t>
      </w:r>
      <w:r w:rsidRPr="000F4A06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funzioni di base necessarie per molte operazioni di sistema e per l'interazione delle applicazioni utente con il sistema operativo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.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Le funzioni contenute in </w:t>
      </w:r>
      <w:r>
        <w:rPr>
          <w:rStyle w:val="CodiceHTML"/>
          <w:rFonts w:asciiTheme="minorHAnsi" w:eastAsiaTheme="minorHAnsi" w:hAnsiTheme="minorHAnsi" w:cstheme="minorHAnsi"/>
          <w:bCs/>
          <w:color w:val="404040" w:themeColor="text1" w:themeTint="BF"/>
          <w:sz w:val="28"/>
          <w:szCs w:val="28"/>
          <w:bdr w:val="single" w:sz="2" w:space="0" w:color="E3E3E3" w:frame="1"/>
          <w:shd w:val="clear" w:color="auto" w:fill="FFFFFF"/>
        </w:rPr>
        <w:t xml:space="preserve">questa libreria </w:t>
      </w:r>
      <w:r w:rsidRPr="000F4A06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coprono una vasta gamma di operazioni di sistema, tra cui gestione della memoria, gestione dei file e delle directory, operazioni di input/output, gestione dei processi e dei thread, sincronizzazione, gestione degli errori, e altro ancora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0F4A06" w:rsidRPr="008B7494" w:rsidRDefault="000F4A06" w:rsidP="000F4A06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 xml:space="preserve">ADVAPI32.dll </w:t>
      </w:r>
      <w:r w:rsidRPr="000F4A06">
        <w:rPr>
          <w:rFonts w:cstheme="minorHAnsi"/>
          <w:b/>
          <w:color w:val="404040" w:themeColor="text1" w:themeTint="BF"/>
          <w:sz w:val="28"/>
          <w:szCs w:val="28"/>
        </w:rPr>
        <w:sym w:font="Wingdings" w:char="F0E0"/>
      </w:r>
      <w:r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  <w:r w:rsidR="008B7494" w:rsidRPr="008B749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fornisce funzionalità essenziali per la </w:t>
      </w:r>
      <w:r w:rsidR="008B7494" w:rsidRPr="008B7494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gestione dei servizi di sistema, la sicurezza, la crittografia e l'accesso al Registro di sistema</w:t>
      </w:r>
      <w:r w:rsidR="008B7494" w:rsidRPr="008B749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 su Microsoft Windows</w:t>
      </w:r>
      <w:r w:rsidR="008B749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8B7494" w:rsidRDefault="008B7494" w:rsidP="000F4A06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 xml:space="preserve">MSVCRT.dll </w:t>
      </w:r>
      <w:r w:rsidRPr="008B7494">
        <w:rPr>
          <w:rFonts w:cstheme="minorHAnsi"/>
          <w:b/>
          <w:color w:val="404040" w:themeColor="text1" w:themeTint="BF"/>
          <w:sz w:val="28"/>
          <w:szCs w:val="28"/>
        </w:rPr>
        <w:sym w:font="Wingdings" w:char="F0E0"/>
      </w:r>
      <w:r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  <w:r w:rsidRPr="008B7494">
        <w:rPr>
          <w:rFonts w:cstheme="minorHAnsi"/>
          <w:color w:val="404040" w:themeColor="text1" w:themeTint="BF"/>
          <w:sz w:val="28"/>
          <w:szCs w:val="28"/>
        </w:rPr>
        <w:t xml:space="preserve">contiene funzioni per la </w:t>
      </w:r>
      <w:r w:rsidRPr="008B7494">
        <w:rPr>
          <w:rFonts w:cstheme="minorHAnsi"/>
          <w:i/>
          <w:color w:val="404040" w:themeColor="text1" w:themeTint="BF"/>
          <w:sz w:val="28"/>
          <w:szCs w:val="28"/>
        </w:rPr>
        <w:t>manipolazione stringhe, allocazione memoria e altro come chiamate per input/output</w:t>
      </w:r>
      <w:r w:rsidRPr="008B7494">
        <w:rPr>
          <w:rFonts w:cstheme="minorHAnsi"/>
          <w:color w:val="404040" w:themeColor="text1" w:themeTint="BF"/>
          <w:sz w:val="28"/>
          <w:szCs w:val="28"/>
        </w:rPr>
        <w:t>, come nel linguaggio C</w:t>
      </w:r>
      <w:r>
        <w:rPr>
          <w:rFonts w:cstheme="minorHAnsi"/>
          <w:color w:val="404040" w:themeColor="text1" w:themeTint="BF"/>
          <w:sz w:val="28"/>
          <w:szCs w:val="28"/>
        </w:rPr>
        <w:t>;</w:t>
      </w:r>
    </w:p>
    <w:p w:rsidR="008B7494" w:rsidRPr="008B7494" w:rsidRDefault="008B7494" w:rsidP="000F4A06">
      <w:pPr>
        <w:pStyle w:val="Paragrafoelenco"/>
        <w:numPr>
          <w:ilvl w:val="0"/>
          <w:numId w:val="1"/>
        </w:numPr>
        <w:rPr>
          <w:rFonts w:cstheme="minorHAnsi"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t xml:space="preserve">WININET.dll </w:t>
      </w:r>
      <w:r w:rsidRPr="008B7494">
        <w:rPr>
          <w:rFonts w:cstheme="minorHAnsi"/>
          <w:b/>
          <w:color w:val="404040" w:themeColor="text1" w:themeTint="BF"/>
          <w:sz w:val="28"/>
          <w:szCs w:val="28"/>
        </w:rPr>
        <w:sym w:font="Wingdings" w:char="F0E0"/>
      </w:r>
      <w:r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  <w:r w:rsidRPr="008B749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 xml:space="preserve">fornisce </w:t>
      </w:r>
      <w:r w:rsidRPr="008B7494">
        <w:rPr>
          <w:rFonts w:cstheme="minorHAnsi"/>
          <w:i/>
          <w:color w:val="404040" w:themeColor="text1" w:themeTint="BF"/>
          <w:sz w:val="28"/>
          <w:szCs w:val="28"/>
          <w:shd w:val="clear" w:color="auto" w:fill="FFFFFF"/>
        </w:rPr>
        <w:t>funzionalità per la comunicazione in rete e l'accesso a risorse Internet</w:t>
      </w:r>
      <w:r w:rsidRPr="008B7494">
        <w:rPr>
          <w:rFonts w:cstheme="minorHAnsi"/>
          <w:color w:val="404040" w:themeColor="text1" w:themeTint="BF"/>
          <w:sz w:val="28"/>
          <w:szCs w:val="28"/>
          <w:shd w:val="clear" w:color="auto" w:fill="FFFFFF"/>
        </w:rPr>
        <w:t>. Questa libreria è fondamentale per le applicazioni che necessitano di connettersi a Internet, inviare richieste HTTP, scaricare file da server remoti e altre operazioni di rete.</w:t>
      </w:r>
    </w:p>
    <w:p w:rsidR="008B7494" w:rsidRPr="008B7494" w:rsidRDefault="008B7494" w:rsidP="008B7494">
      <w:pPr>
        <w:rPr>
          <w:rFonts w:cstheme="minorHAnsi"/>
          <w:color w:val="404040" w:themeColor="text1" w:themeTint="BF"/>
          <w:sz w:val="28"/>
          <w:szCs w:val="28"/>
        </w:rPr>
      </w:pPr>
    </w:p>
    <w:p w:rsidR="008B7494" w:rsidRDefault="008B7494" w:rsidP="008B7494">
      <w:pPr>
        <w:rPr>
          <w:rFonts w:cstheme="minorHAnsi"/>
          <w:color w:val="404040" w:themeColor="text1" w:themeTint="BF"/>
          <w:sz w:val="28"/>
          <w:szCs w:val="28"/>
        </w:rPr>
      </w:pPr>
      <w:r w:rsidRPr="008B7494">
        <w:rPr>
          <w:rFonts w:cstheme="minorHAnsi"/>
          <w:color w:val="404040" w:themeColor="text1" w:themeTint="BF"/>
          <w:sz w:val="28"/>
          <w:szCs w:val="28"/>
        </w:rPr>
        <w:t>Per rispondere invece</w:t>
      </w:r>
      <w:r>
        <w:rPr>
          <w:rFonts w:cstheme="minorHAnsi"/>
          <w:color w:val="404040" w:themeColor="text1" w:themeTint="BF"/>
          <w:sz w:val="28"/>
          <w:szCs w:val="28"/>
        </w:rPr>
        <w:t xml:space="preserve"> al secondo quesito dell’esercizio, dobbiamo andare nella </w:t>
      </w:r>
      <w:proofErr w:type="spellStart"/>
      <w:r w:rsidRPr="008B7494">
        <w:rPr>
          <w:rFonts w:cstheme="minorHAnsi"/>
          <w:b/>
          <w:color w:val="404040" w:themeColor="text1" w:themeTint="BF"/>
          <w:sz w:val="28"/>
          <w:szCs w:val="28"/>
        </w:rPr>
        <w:t>Section</w:t>
      </w:r>
      <w:proofErr w:type="spellEnd"/>
      <w:r w:rsidRPr="008B7494">
        <w:rPr>
          <w:rFonts w:cstheme="minorHAnsi"/>
          <w:b/>
          <w:color w:val="404040" w:themeColor="text1" w:themeTint="BF"/>
          <w:sz w:val="28"/>
          <w:szCs w:val="28"/>
        </w:rPr>
        <w:t xml:space="preserve"> </w:t>
      </w:r>
      <w:proofErr w:type="spellStart"/>
      <w:r w:rsidRPr="008B7494">
        <w:rPr>
          <w:rFonts w:cstheme="minorHAnsi"/>
          <w:b/>
          <w:color w:val="404040" w:themeColor="text1" w:themeTint="BF"/>
          <w:sz w:val="28"/>
          <w:szCs w:val="28"/>
        </w:rPr>
        <w:t>Header</w:t>
      </w:r>
      <w:proofErr w:type="spellEnd"/>
      <w:r>
        <w:rPr>
          <w:rFonts w:cstheme="minorHAnsi"/>
          <w:color w:val="404040" w:themeColor="text1" w:themeTint="BF"/>
          <w:sz w:val="28"/>
          <w:szCs w:val="28"/>
        </w:rPr>
        <w:t xml:space="preserve"> del nostro menu su CFF per vedere le sezioni di cui si compone il malware in analisi:</w:t>
      </w:r>
    </w:p>
    <w:p w:rsidR="008B7494" w:rsidRDefault="008B7494" w:rsidP="008B7494">
      <w:pPr>
        <w:rPr>
          <w:rFonts w:cstheme="minorHAnsi"/>
          <w:color w:val="404040" w:themeColor="text1" w:themeTint="BF"/>
          <w:sz w:val="28"/>
          <w:szCs w:val="28"/>
        </w:rPr>
      </w:pPr>
    </w:p>
    <w:p w:rsidR="008B7494" w:rsidRDefault="008B7494" w:rsidP="008B7494">
      <w:pPr>
        <w:jc w:val="right"/>
        <w:rPr>
          <w:rFonts w:cstheme="minorHAnsi"/>
          <w:color w:val="404040" w:themeColor="text1" w:themeTint="BF"/>
          <w:sz w:val="28"/>
          <w:szCs w:val="28"/>
        </w:rPr>
      </w:pPr>
      <w:r w:rsidRPr="008B7494">
        <w:rPr>
          <w:rFonts w:cstheme="minorHAnsi"/>
          <w:color w:val="404040" w:themeColor="text1" w:themeTint="BF"/>
          <w:sz w:val="28"/>
          <w:szCs w:val="28"/>
        </w:rPr>
        <w:drawing>
          <wp:inline distT="0" distB="0" distL="0" distR="0" wp14:anchorId="07832BCB" wp14:editId="342E4E0B">
            <wp:extent cx="9972676" cy="203506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45098" cy="20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94" w:rsidRDefault="008B7494" w:rsidP="008B7494">
      <w:pPr>
        <w:jc w:val="right"/>
        <w:rPr>
          <w:rFonts w:cstheme="minorHAnsi"/>
          <w:color w:val="404040" w:themeColor="text1" w:themeTint="BF"/>
          <w:sz w:val="28"/>
          <w:szCs w:val="28"/>
        </w:rPr>
      </w:pPr>
    </w:p>
    <w:p w:rsidR="00790794" w:rsidRDefault="008B74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Quando si vede una sezione chiamata "</w:t>
      </w:r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UPX0/1/2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", è probabile che il file eseguibile sia stato </w:t>
      </w:r>
      <w:r w:rsidRPr="00790794">
        <w:rPr>
          <w:rFonts w:asciiTheme="minorHAnsi" w:hAnsiTheme="minorHAnsi" w:cstheme="minorHAnsi"/>
          <w:i/>
          <w:color w:val="404040" w:themeColor="text1" w:themeTint="BF"/>
          <w:sz w:val="28"/>
          <w:szCs w:val="28"/>
          <w:shd w:val="clear" w:color="auto" w:fill="FFFFFF"/>
        </w:rPr>
        <w:t>compresso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utilizzando UPX</w:t>
      </w:r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(Ultimate </w:t>
      </w:r>
      <w:proofErr w:type="spellStart"/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Packer</w:t>
      </w:r>
      <w:proofErr w:type="spellEnd"/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for </w:t>
      </w:r>
      <w:proofErr w:type="spellStart"/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eXecutables</w:t>
      </w:r>
      <w:proofErr w:type="spellEnd"/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)</w:t>
      </w:r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,</w:t>
      </w:r>
      <w:r w:rsidR="00790794"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uno strumento di compressione e decompressione per file eseguibili, comunemente utilizzato per ridurre le dimensioni dei file binari senza comprometterne la funzionalità.</w:t>
      </w:r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Per decomprimere i file torniamo nel nostro menu, selezioniamo </w:t>
      </w:r>
      <w:r w:rsidRPr="009D5224"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UPX utility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e clicchiamo su </w:t>
      </w:r>
      <w:proofErr w:type="spellStart"/>
      <w:r w:rsidRPr="009D5224">
        <w:rPr>
          <w:rFonts w:asciiTheme="minorHAnsi" w:hAnsiTheme="minorHAnsi" w:cstheme="minorHAnsi"/>
          <w:i/>
          <w:color w:val="404040" w:themeColor="text1" w:themeTint="BF"/>
          <w:sz w:val="28"/>
          <w:szCs w:val="28"/>
        </w:rPr>
        <w:t>Unpack</w:t>
      </w:r>
      <w:proofErr w:type="spellEnd"/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e, tornando alla tabella precedente potremmo vedere in chiaro le nostre sezioni del malware</w:t>
      </w:r>
      <w:bookmarkStart w:id="0" w:name="_GoBack"/>
      <w:bookmarkEnd w:id="0"/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:</w:t>
      </w:r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right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drawing>
          <wp:inline distT="0" distB="0" distL="0" distR="0" wp14:anchorId="204B4976" wp14:editId="24323359">
            <wp:extent cx="6716062" cy="3915321"/>
            <wp:effectExtent l="0" t="0" r="889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drawing>
          <wp:inline distT="0" distB="0" distL="0" distR="0" wp14:anchorId="64F9CBB7" wp14:editId="14C2ABC1">
            <wp:extent cx="10831437" cy="2238687"/>
            <wp:effectExtent l="0" t="0" r="825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14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</w:p>
    <w:p w:rsidR="00790794" w:rsidRDefault="00790794" w:rsidP="00790794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Tre quindi le sezioni di cui si compone il nostro malware. Analiziamole:</w:t>
      </w:r>
    </w:p>
    <w:p w:rsidR="00790794" w:rsidRPr="00790794" w:rsidRDefault="00790794" w:rsidP="00790794">
      <w:pPr>
        <w:pStyle w:val="Normale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790794"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.text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q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uesta sezione contiene il codice eseguibile del programma, ovvero le istruzioni macchina che vengono eseguite dal processore quando il programma viene avviato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790794" w:rsidRPr="00790794" w:rsidRDefault="00790794" w:rsidP="00790794">
      <w:pPr>
        <w:pStyle w:val="Normale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.rdata</w:t>
      </w:r>
      <w:proofErr w:type="gramEnd"/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 xml:space="preserve"> 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include generalmente le informazioni circa le librerie e le funzioni importate ed esportate dall’eseguibile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; 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q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uesta sezione contiene principalmente dati "read-only" (sola lettura)</w:t>
      </w:r>
      <w:r w:rsidR="000C04D2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0C04D2" w:rsidRPr="000C04D2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per proteggere i dati contenuti al suo interno dall'essere modificati accidentalmente durante l'esecuzione del programma</w:t>
      </w:r>
      <w:r w:rsidRPr="000C04D2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;</w:t>
      </w:r>
    </w:p>
    <w:p w:rsidR="00790794" w:rsidRPr="000C04D2" w:rsidRDefault="00790794" w:rsidP="00790794">
      <w:pPr>
        <w:pStyle w:val="NormaleWeb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  <w:r w:rsidRPr="00790794"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.data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Pr="00790794">
        <w:rPr>
          <w:rFonts w:asciiTheme="minorHAnsi" w:hAnsiTheme="minorHAnsi" w:cstheme="minorHAnsi"/>
          <w:color w:val="404040" w:themeColor="text1" w:themeTint="BF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 </w:t>
      </w:r>
      <w:r w:rsidR="000C04D2" w:rsidRPr="000C04D2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contiene tipicamente i dati / le variabili globali del programma eseguibile, che devono essere disponibili da qualsiasi parte del programma.</w:t>
      </w:r>
      <w:r w:rsidR="000C04D2" w:rsidRPr="000C04D2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="000C04D2" w:rsidRPr="000C04D2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Questa sezione contiene variabili globali e dati che possono essere modificati durante l'esecuzione del programma.</w:t>
      </w:r>
    </w:p>
    <w:p w:rsidR="000C04D2" w:rsidRDefault="00324CF3" w:rsidP="000C04D2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 xml:space="preserve">In conclusione di tale analisi, per farci un’idea più chiara di che tipo di malware abbiamo tra le mani, possiamo utilizzare uno strumento molto utile che è </w:t>
      </w:r>
      <w:proofErr w:type="spellStart"/>
      <w:r w:rsidRPr="00324CF3"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>VirusTotal</w:t>
      </w:r>
      <w:proofErr w:type="spellEnd"/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</w:rPr>
        <w:t xml:space="preserve">, 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un servizio online gratuito che fornisce un'analisi antivirus multipla di file e URL per individuare malware e altre minacce informatiche. È utilizzato principalmente da utenti, esperti di sicurezza e ricercatori per verificare la sicurezza di file sospetti o URL potenzialmente dannosi.</w:t>
      </w:r>
    </w:p>
    <w:p w:rsidR="00324CF3" w:rsidRDefault="00324CF3" w:rsidP="000C04D2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Proviamo ad avviare la scansione del nostro file:</w:t>
      </w:r>
    </w:p>
    <w:p w:rsidR="00324CF3" w:rsidRDefault="00324CF3" w:rsidP="000C04D2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</w:p>
    <w:p w:rsidR="00324CF3" w:rsidRDefault="00324CF3" w:rsidP="00324CF3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center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drawing>
          <wp:inline distT="0" distB="0" distL="0" distR="0" wp14:anchorId="636A3F79" wp14:editId="0E402083">
            <wp:extent cx="10716895" cy="3906533"/>
            <wp:effectExtent l="0" t="0" r="825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3632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F3" w:rsidRDefault="00324CF3" w:rsidP="00324CF3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jc w:val="center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</w:p>
    <w:p w:rsidR="00324CF3" w:rsidRDefault="00324CF3" w:rsidP="00324CF3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A seguito della scansione possiamo renderci conto che abbiamo a che fare con un </w:t>
      </w:r>
      <w:r w:rsidRPr="00324CF3"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</w:rPr>
        <w:t>Trojan</w:t>
      </w:r>
      <w:r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</w:rPr>
        <w:t xml:space="preserve">, 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un tipo di software malevolo che si presenta come legittimo ma in realtà nasconde funzionalità dannose. I trojan prendono il nome dal cavallo di Troia nella mitologia greca, poiché ingannano gli utenti facendoli apparire come applicazioni o file affidabili, ma in realtà contengono codice malevolo.</w:t>
      </w:r>
      <w:r w:rsidRPr="00324CF3">
        <w:rPr>
          <w:rFonts w:asciiTheme="minorHAnsi" w:hAnsiTheme="minorHAnsi" w:cstheme="minorHAnsi"/>
          <w:b/>
          <w:color w:val="404040" w:themeColor="text1" w:themeTint="BF"/>
          <w:sz w:val="28"/>
          <w:szCs w:val="28"/>
          <w:shd w:val="clear" w:color="auto" w:fill="FFFFFF"/>
        </w:rPr>
        <w:t xml:space="preserve"> </w:t>
      </w:r>
    </w:p>
    <w:p w:rsidR="00324CF3" w:rsidRDefault="00324CF3" w:rsidP="00324CF3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Caratteristica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subdola dei 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trojan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è che</w:t>
      </w: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possono assumere molte forme diverse e possono essere utilizzati per una vasta gamma di attacchi informatici. Gli utenti devono essere consapevoli dei rischi associati ai trojan e prendere misure per proteggere i propri dispositivi e dati da tali minacce. </w:t>
      </w:r>
    </w:p>
    <w:p w:rsidR="00324CF3" w:rsidRPr="00324CF3" w:rsidRDefault="00324CF3" w:rsidP="00324CF3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</w:pPr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Ciò include l'utilizzo di software antivirus e </w:t>
      </w:r>
      <w:proofErr w:type="spellStart"/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>antimalware</w:t>
      </w:r>
      <w:proofErr w:type="spellEnd"/>
      <w:r w:rsidRPr="00324CF3">
        <w:rPr>
          <w:rFonts w:asciiTheme="minorHAnsi" w:hAnsiTheme="minorHAnsi" w:cstheme="minorHAnsi"/>
          <w:color w:val="404040" w:themeColor="text1" w:themeTint="BF"/>
          <w:sz w:val="28"/>
          <w:szCs w:val="28"/>
          <w:shd w:val="clear" w:color="auto" w:fill="FFFFFF"/>
        </w:rPr>
        <w:t xml:space="preserve"> aggiornato, l'evitare di scaricare software da fonti non attendibili e l'essere vigili nei confronti di messaggi e-mail o link sospetti.</w:t>
      </w:r>
    </w:p>
    <w:p w:rsidR="00324CF3" w:rsidRPr="00790794" w:rsidRDefault="00324CF3" w:rsidP="000C04D2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Theme="minorHAnsi" w:hAnsiTheme="minorHAnsi" w:cstheme="minorHAnsi"/>
          <w:color w:val="404040" w:themeColor="text1" w:themeTint="BF"/>
          <w:sz w:val="28"/>
          <w:szCs w:val="28"/>
        </w:rPr>
      </w:pPr>
    </w:p>
    <w:p w:rsidR="008B7494" w:rsidRPr="008B7494" w:rsidRDefault="008B7494" w:rsidP="008B7494">
      <w:pPr>
        <w:rPr>
          <w:rFonts w:cstheme="minorHAnsi"/>
          <w:color w:val="404040" w:themeColor="text1" w:themeTint="BF"/>
          <w:sz w:val="28"/>
          <w:szCs w:val="28"/>
        </w:rPr>
      </w:pPr>
    </w:p>
    <w:sectPr w:rsidR="008B7494" w:rsidRPr="008B7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35F"/>
    <w:multiLevelType w:val="hybridMultilevel"/>
    <w:tmpl w:val="C598DC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F200B"/>
    <w:multiLevelType w:val="hybridMultilevel"/>
    <w:tmpl w:val="1188F1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51"/>
    <w:rsid w:val="000C04D2"/>
    <w:rsid w:val="000F4A06"/>
    <w:rsid w:val="001516D1"/>
    <w:rsid w:val="00324CF3"/>
    <w:rsid w:val="005A60E1"/>
    <w:rsid w:val="00601651"/>
    <w:rsid w:val="00790794"/>
    <w:rsid w:val="008B7494"/>
    <w:rsid w:val="008C352B"/>
    <w:rsid w:val="009D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6F2B"/>
  <w15:chartTrackingRefBased/>
  <w15:docId w15:val="{300AB407-D60C-48BB-93C5-851B6ABF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4A06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F4A06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0F4A06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9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1</cp:revision>
  <dcterms:created xsi:type="dcterms:W3CDTF">2024-02-12T12:38:00Z</dcterms:created>
  <dcterms:modified xsi:type="dcterms:W3CDTF">2024-02-12T14:18:00Z</dcterms:modified>
</cp:coreProperties>
</file>