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D84F0" w14:textId="77777777" w:rsidR="000C7D78" w:rsidRPr="007C6540" w:rsidRDefault="000C7D78"/>
    <w:p w14:paraId="25930828" w14:textId="77777777" w:rsidR="007C6540" w:rsidRDefault="007C6540" w:rsidP="007C6540">
      <w:pPr>
        <w:jc w:val="center"/>
        <w:rPr>
          <w:rFonts w:ascii="Arial" w:hAnsi="Arial" w:cs="Arial"/>
          <w:sz w:val="28"/>
          <w:szCs w:val="28"/>
        </w:rPr>
      </w:pPr>
    </w:p>
    <w:p w14:paraId="750241F6" w14:textId="06EBF7EE" w:rsidR="007C6540" w:rsidRPr="007C6540" w:rsidRDefault="007C6540" w:rsidP="007C6540">
      <w:pPr>
        <w:jc w:val="center"/>
        <w:rPr>
          <w:rFonts w:ascii="Arial" w:hAnsi="Arial" w:cs="Arial"/>
          <w:sz w:val="28"/>
          <w:szCs w:val="28"/>
        </w:rPr>
      </w:pPr>
      <w:r>
        <w:rPr>
          <w:rFonts w:ascii="Arial" w:hAnsi="Arial" w:cs="Arial"/>
          <w:sz w:val="28"/>
          <w:szCs w:val="28"/>
        </w:rPr>
        <w:t>Instituto Tecnológico de Costa Rica</w:t>
      </w:r>
    </w:p>
    <w:p w14:paraId="3D2FA9CE" w14:textId="77777777" w:rsidR="007C6540" w:rsidRDefault="007C6540" w:rsidP="007C6540">
      <w:pPr>
        <w:jc w:val="center"/>
        <w:rPr>
          <w:rFonts w:ascii="Arial" w:hAnsi="Arial" w:cs="Arial"/>
          <w:sz w:val="28"/>
          <w:szCs w:val="28"/>
        </w:rPr>
      </w:pPr>
    </w:p>
    <w:p w14:paraId="7B841565" w14:textId="14AC9DD5" w:rsidR="007C6540" w:rsidRPr="007C6540" w:rsidRDefault="007C6540" w:rsidP="007C6540">
      <w:pPr>
        <w:jc w:val="center"/>
        <w:rPr>
          <w:rFonts w:ascii="Arial" w:hAnsi="Arial" w:cs="Arial"/>
          <w:sz w:val="28"/>
          <w:szCs w:val="28"/>
        </w:rPr>
      </w:pPr>
      <w:r>
        <w:rPr>
          <w:rFonts w:ascii="Arial" w:hAnsi="Arial" w:cs="Arial"/>
          <w:sz w:val="28"/>
          <w:szCs w:val="28"/>
        </w:rPr>
        <w:t>Campus Local San Carlos</w:t>
      </w:r>
    </w:p>
    <w:p w14:paraId="45B7C7FB" w14:textId="77777777" w:rsidR="007C6540" w:rsidRDefault="007C6540" w:rsidP="007C6540">
      <w:pPr>
        <w:jc w:val="center"/>
        <w:rPr>
          <w:rFonts w:ascii="Arial" w:hAnsi="Arial" w:cs="Arial"/>
          <w:sz w:val="28"/>
          <w:szCs w:val="28"/>
        </w:rPr>
      </w:pPr>
    </w:p>
    <w:p w14:paraId="3B55F7CE" w14:textId="68920ADE" w:rsidR="007C6540" w:rsidRPr="007C6540" w:rsidRDefault="007C6540" w:rsidP="007C6540">
      <w:pPr>
        <w:jc w:val="center"/>
        <w:rPr>
          <w:rFonts w:ascii="Arial" w:hAnsi="Arial" w:cs="Arial"/>
          <w:sz w:val="28"/>
          <w:szCs w:val="28"/>
        </w:rPr>
      </w:pPr>
      <w:r>
        <w:rPr>
          <w:rFonts w:ascii="Arial" w:hAnsi="Arial" w:cs="Arial"/>
          <w:sz w:val="28"/>
          <w:szCs w:val="28"/>
        </w:rPr>
        <w:t>Ingeniería en Computación</w:t>
      </w:r>
    </w:p>
    <w:p w14:paraId="5DFB5515" w14:textId="77777777" w:rsidR="007C6540" w:rsidRDefault="007C6540" w:rsidP="007C6540">
      <w:pPr>
        <w:jc w:val="center"/>
        <w:rPr>
          <w:rFonts w:ascii="Arial" w:hAnsi="Arial" w:cs="Arial"/>
          <w:sz w:val="28"/>
          <w:szCs w:val="28"/>
        </w:rPr>
      </w:pPr>
    </w:p>
    <w:p w14:paraId="647C7D15" w14:textId="367FC026" w:rsidR="007C6540" w:rsidRPr="007C6540" w:rsidRDefault="007C6540" w:rsidP="007C6540">
      <w:pPr>
        <w:jc w:val="center"/>
        <w:rPr>
          <w:rFonts w:ascii="Arial" w:hAnsi="Arial" w:cs="Arial"/>
          <w:sz w:val="28"/>
          <w:szCs w:val="28"/>
        </w:rPr>
      </w:pPr>
      <w:r>
        <w:rPr>
          <w:rFonts w:ascii="Arial" w:hAnsi="Arial" w:cs="Arial"/>
          <w:sz w:val="28"/>
          <w:szCs w:val="28"/>
        </w:rPr>
        <w:t>Compiladores e Intérpretes</w:t>
      </w:r>
    </w:p>
    <w:p w14:paraId="16BEE0A7" w14:textId="77777777" w:rsidR="007C6540" w:rsidRDefault="007C6540" w:rsidP="007C6540">
      <w:pPr>
        <w:jc w:val="center"/>
        <w:rPr>
          <w:rFonts w:ascii="Arial" w:hAnsi="Arial" w:cs="Arial"/>
          <w:sz w:val="28"/>
          <w:szCs w:val="28"/>
        </w:rPr>
      </w:pPr>
    </w:p>
    <w:p w14:paraId="2B312E68" w14:textId="0DFBFA52" w:rsidR="007C6540" w:rsidRPr="007C6540" w:rsidRDefault="007C6540" w:rsidP="007C6540">
      <w:pPr>
        <w:jc w:val="center"/>
        <w:rPr>
          <w:rFonts w:ascii="Arial" w:hAnsi="Arial" w:cs="Arial"/>
          <w:sz w:val="28"/>
          <w:szCs w:val="28"/>
        </w:rPr>
      </w:pPr>
      <w:r>
        <w:rPr>
          <w:rFonts w:ascii="Arial" w:hAnsi="Arial" w:cs="Arial"/>
          <w:sz w:val="28"/>
          <w:szCs w:val="28"/>
        </w:rPr>
        <w:t>I Semestre 2026</w:t>
      </w:r>
    </w:p>
    <w:p w14:paraId="353E90B0" w14:textId="77777777" w:rsidR="007C6540" w:rsidRPr="007C6540" w:rsidRDefault="007C6540" w:rsidP="007C6540">
      <w:pPr>
        <w:jc w:val="center"/>
        <w:rPr>
          <w:rFonts w:ascii="Arial" w:hAnsi="Arial" w:cs="Arial"/>
          <w:sz w:val="28"/>
          <w:szCs w:val="28"/>
        </w:rPr>
      </w:pPr>
    </w:p>
    <w:p w14:paraId="72AC21ED" w14:textId="0496B253" w:rsidR="007C6540" w:rsidRPr="007C6540" w:rsidRDefault="007C6540" w:rsidP="007C6540">
      <w:pPr>
        <w:jc w:val="center"/>
        <w:rPr>
          <w:rFonts w:ascii="Arial" w:hAnsi="Arial" w:cs="Arial"/>
          <w:sz w:val="28"/>
          <w:szCs w:val="28"/>
        </w:rPr>
      </w:pPr>
      <w:r>
        <w:rPr>
          <w:rFonts w:ascii="Arial" w:hAnsi="Arial" w:cs="Arial"/>
          <w:sz w:val="28"/>
          <w:szCs w:val="28"/>
        </w:rPr>
        <w:t>Integrantes</w:t>
      </w:r>
    </w:p>
    <w:p w14:paraId="0FE95672" w14:textId="75DEEE28" w:rsidR="007C6540" w:rsidRPr="007C6540" w:rsidRDefault="007C6540" w:rsidP="007C6540">
      <w:pPr>
        <w:jc w:val="center"/>
        <w:rPr>
          <w:rFonts w:ascii="Arial" w:hAnsi="Arial" w:cs="Arial"/>
          <w:sz w:val="28"/>
          <w:szCs w:val="28"/>
        </w:rPr>
      </w:pPr>
      <w:r>
        <w:rPr>
          <w:rFonts w:ascii="Arial" w:hAnsi="Arial" w:cs="Arial"/>
          <w:sz w:val="28"/>
          <w:szCs w:val="28"/>
        </w:rPr>
        <w:t>Fabián Vargas Araya</w:t>
      </w:r>
    </w:p>
    <w:p w14:paraId="77AD1497" w14:textId="46B0B285" w:rsidR="007C6540" w:rsidRPr="007C6540" w:rsidRDefault="007C6540" w:rsidP="007C6540">
      <w:pPr>
        <w:jc w:val="center"/>
        <w:rPr>
          <w:rFonts w:ascii="Arial" w:hAnsi="Arial" w:cs="Arial"/>
          <w:sz w:val="28"/>
          <w:szCs w:val="28"/>
        </w:rPr>
      </w:pPr>
      <w:r>
        <w:rPr>
          <w:rFonts w:ascii="Arial" w:hAnsi="Arial" w:cs="Arial"/>
          <w:sz w:val="28"/>
          <w:szCs w:val="28"/>
        </w:rPr>
        <w:t>Joseph Daniel Salas Rivas</w:t>
      </w:r>
    </w:p>
    <w:p w14:paraId="17D3C30E" w14:textId="77777777" w:rsidR="007C6540" w:rsidRPr="007C6540" w:rsidRDefault="007C6540" w:rsidP="007C6540">
      <w:pPr>
        <w:jc w:val="center"/>
        <w:rPr>
          <w:rFonts w:ascii="Arial" w:hAnsi="Arial" w:cs="Arial"/>
          <w:sz w:val="28"/>
          <w:szCs w:val="28"/>
        </w:rPr>
      </w:pPr>
    </w:p>
    <w:p w14:paraId="2F63CAAE" w14:textId="39B10315" w:rsidR="007C6540" w:rsidRPr="007C6540" w:rsidRDefault="007C6540" w:rsidP="007C6540">
      <w:pPr>
        <w:jc w:val="center"/>
        <w:rPr>
          <w:rFonts w:ascii="Arial" w:hAnsi="Arial" w:cs="Arial"/>
          <w:sz w:val="28"/>
          <w:szCs w:val="28"/>
        </w:rPr>
      </w:pPr>
      <w:r>
        <w:rPr>
          <w:rFonts w:ascii="Arial" w:hAnsi="Arial" w:cs="Arial"/>
          <w:sz w:val="28"/>
          <w:szCs w:val="28"/>
        </w:rPr>
        <w:t>Profesor</w:t>
      </w:r>
    </w:p>
    <w:p w14:paraId="5AACCEB5" w14:textId="0F55FD37" w:rsidR="007C6540" w:rsidRPr="007C6540" w:rsidRDefault="007C6540" w:rsidP="007C6540">
      <w:pPr>
        <w:jc w:val="center"/>
        <w:rPr>
          <w:rFonts w:ascii="Arial" w:hAnsi="Arial" w:cs="Arial"/>
          <w:sz w:val="28"/>
          <w:szCs w:val="28"/>
        </w:rPr>
      </w:pPr>
      <w:r>
        <w:rPr>
          <w:rFonts w:ascii="Arial" w:hAnsi="Arial" w:cs="Arial"/>
          <w:sz w:val="28"/>
          <w:szCs w:val="28"/>
        </w:rPr>
        <w:t>Óscar Víquez Acuña</w:t>
      </w:r>
    </w:p>
    <w:p w14:paraId="5514BFF6" w14:textId="77777777" w:rsidR="007C6540" w:rsidRPr="007C6540" w:rsidRDefault="007C6540" w:rsidP="007C6540">
      <w:pPr>
        <w:jc w:val="center"/>
        <w:rPr>
          <w:rFonts w:ascii="Arial" w:hAnsi="Arial" w:cs="Arial"/>
          <w:sz w:val="28"/>
          <w:szCs w:val="28"/>
        </w:rPr>
      </w:pPr>
    </w:p>
    <w:p w14:paraId="22DDCE46" w14:textId="28CEBC67" w:rsidR="007C6540" w:rsidRPr="007C6540" w:rsidRDefault="007C6540" w:rsidP="007C6540">
      <w:pPr>
        <w:jc w:val="center"/>
        <w:rPr>
          <w:rFonts w:ascii="Arial" w:hAnsi="Arial" w:cs="Arial"/>
          <w:sz w:val="28"/>
          <w:szCs w:val="28"/>
        </w:rPr>
      </w:pPr>
      <w:r>
        <w:rPr>
          <w:rFonts w:ascii="Arial" w:hAnsi="Arial" w:cs="Arial"/>
          <w:sz w:val="28"/>
          <w:szCs w:val="28"/>
        </w:rPr>
        <w:t>Grupo 51</w:t>
      </w:r>
    </w:p>
    <w:p w:rsidR="00DD5923" w:rsidRDefault="00DD5923">
      <w:pPr>
        <w:pageBreakBefore/>
        <w:spacing w:before="240" w:after="100"/>
        <w:rPr>
          <w:rFonts w:ascii="Arial" w:hAnsi="Arial" w:cs="Arial"/>
          <w:b/>
          <w:bCs/>
          <w:sz w:val="28"/>
          <w:szCs w:val="28"/>
        </w:rPr>
      </w:pPr>
      <w:r>
        <w:rPr>
          <w:rFonts w:ascii="Arial" w:hAnsi="Arial" w:cs="Arial"/>
          <w:b/>
          <w:bCs/>
          <w:sz w:val="28"/>
          <w:szCs w:val="28"/>
        </w:rPr>
        <w:t xml:space="preserve">Introducción</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El presente documento describe el diseño e implementación del compilador MiniGO, desarrollado como proyecto final del curso Compiladores e Intérpretes del Instituto Tecnológico de Costa Rica. MiniGO es un subconjunto estático del lenguaje Go (Golang) que conserva su sintaxis de alto nivel pero prescinde de las características de runtime como la concurrencia, el recolector de basura y los punteros explícitos, lo que permite generar código máquina estático de manera directa.</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El compilador fue implementado en C# (.NET 8) y produce ejecutables nativos para arquitectura x86-64 a través de la biblioteca LLVMSharp.Interop. La cadena de herramientas comprende ANTLR4 para el análisis léxico-sintáctico, una tabla de símbolos stack-based para la verificación semántica, un visitor de generación de código que emite LLVM IR, y un entorno de desarrollo integrado (IDE) construido con WPF y AvalonEdit. El documento está organizado en análisis del lenguaje, descripción técnica de la implementación, cuadro de resultados y conclusiones del trabajo.</w:t>
      </w:r>
    </w:p>
    <w:p w:rsidR="00DD5923" w:rsidRDefault="00DD5923">
      <w:pPr>
        <w:pageBreakBefore/>
        <w:spacing w:before="240" w:after="100"/>
        <w:rPr>
          <w:rFonts w:ascii="Arial" w:hAnsi="Arial" w:cs="Arial"/>
          <w:b/>
          <w:bCs/>
          <w:sz w:val="28"/>
          <w:szCs w:val="28"/>
        </w:rPr>
      </w:pPr>
      <w:r>
        <w:rPr>
          <w:rFonts w:ascii="Arial" w:hAnsi="Arial" w:cs="Arial"/>
          <w:b/>
          <w:bCs/>
          <w:sz w:val="28"/>
          <w:szCs w:val="28"/>
        </w:rPr>
        <w:t xml:space="preserve">1. Análisis del Lenguaje</w:t>
      </w:r>
    </w:p>
    <w:p w:rsidR="00DD5923" w:rsidRDefault="00DD5923">
      <w:pPr>
        <w:spacing w:before="160" w:after="60"/>
        <w:rPr>
          <w:rFonts w:ascii="Arial" w:hAnsi="Arial" w:cs="Arial"/>
          <w:b/>
          <w:bCs/>
          <w:sz w:val="24"/>
          <w:szCs w:val="24"/>
        </w:rPr>
      </w:pPr>
      <w:r>
        <w:rPr>
          <w:rFonts w:ascii="Arial" w:hAnsi="Arial" w:cs="Arial"/>
          <w:b/>
          <w:bCs/>
          <w:sz w:val="24"/>
          <w:szCs w:val="24"/>
        </w:rPr>
        <w:t xml:space="preserve">1.1  Estructura de la gramática</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La gramática de MiniGO se definió en dos archivos ANTLR4: MiniGoLexer.g4 para el análisis léxico y MiniGoParser.g4 para el análisis sintáctico. En el plano léxico, el lexer reconoce el conjunto completo de palabras reservadas de Go (package, import, func, var, type, struct, if, else, for, switch, case, default, return, break, continue), los cinco grupos de operadores —aritméticos, de comparación, lógicos, de asignación e incremento/decremento—, los dos formatos de comentario (de línea con // y de bloque con /* */), y cuatro clases de literales: enteros, reales, cadenas interpretadas (comillas dobles), cadenas raw (backtick) y runas (comillas simples con secuencias de escape). El reconocimiento de FLOATLITERAL cubre parte decimal y exponente opcional; RUNELITERAL maneja las secuencias \n, \t y \\, casos que, de omitirse, producirían fallos silenciosos con código Go válido.</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En el plano sintáctico, el parser define reglas para las tres categorías de declaración (var, type/struct y func) y para los tipos de statement que admite el lenguaje: asignación simple, asignación corta (:=), incremento/decremento, cuatro variantes de for (infinito, while-style, clásico init;cond;post y sin condición), cuatro variantes de switch (con expresión entera, con expresión y default, bare con init y bare sin init), if/else anidable, return, break y continue. Las reglas de expresión abarcan operaciones aritméticas, lógicas y de comparación, acceso a índices de arreglo y a campos de struct, y llamadas a funciones predefinidas. La precedencia de operadores se resuelve mediante la alternativa ordenada de ANTLR4, sin necesidad de niveles explícitos de regla.</w:t>
      </w:r>
    </w:p>
    <w:p w:rsidR="00DD5923" w:rsidRDefault="00DD5923">
      <w:pPr>
        <w:spacing w:before="160" w:after="60"/>
        <w:rPr>
          <w:rFonts w:ascii="Arial" w:hAnsi="Arial" w:cs="Arial"/>
          <w:b/>
          <w:bCs/>
          <w:sz w:val="24"/>
          <w:szCs w:val="24"/>
        </w:rPr>
      </w:pPr>
      <w:r>
        <w:rPr>
          <w:rFonts w:ascii="Arial" w:hAnsi="Arial" w:cs="Arial"/>
          <w:b/>
          <w:bCs/>
          <w:sz w:val="24"/>
          <w:szCs w:val="24"/>
        </w:rPr>
        <w:t xml:space="preserve">1.2  Construcciones admitidas y no admitidas</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Con MiniGO es posible declarar variables de los tipos primitivos int, float64, bool, string y rune; arreglos de tamaño fijo en stack ([N]int) y structs con campos tipados; usar la declaración explícita (var x T = expr) o la inferencia de tipos para primitivos (x := expr); definir funciones con cero o más parámetros y un único valor de retorno, incluyendo structs por valor; y controlar el flujo con todas las variantes de if, for y switch, incluyendo break y continue. Las funciones predefinidas println, print, len, cap y append están soportadas; append devuelve el arreglo original sin reasignar memoria, dado que los arreglos de MiniGO son de tamaño fijo en stack y no existe gestión dinámica de heap.</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El lenguaje no admite construcciones que presuponen el runtime de Go: no existen punteros explícitos (&amp; y *), goroutines, canales (chan) ni la instrucción defer. Tampoco están disponibles los mapas (map), los múltiples valores de retorno, las interfaces, los genéricos ni las importaciones de paquetes externos al package main. La inferencia de tipos se restringe deliberadamente a primitivos, en concordancia con la regla 6 del enunciado: asignar un slice o un struct a una variable declarada con := genera error semántico.</w:t>
      </w:r>
    </w:p>
    <w:p w:rsidR="00DD5923" w:rsidRDefault="00DD5923">
      <w:pPr>
        <w:spacing w:before="160" w:after="60"/>
        <w:rPr>
          <w:rFonts w:ascii="Arial" w:hAnsi="Arial" w:cs="Arial"/>
          <w:b/>
          <w:bCs/>
          <w:sz w:val="24"/>
          <w:szCs w:val="24"/>
        </w:rPr>
      </w:pPr>
      <w:r>
        <w:rPr>
          <w:rFonts w:ascii="Arial" w:hAnsi="Arial" w:cs="Arial"/>
          <w:b/>
          <w:bCs/>
          <w:sz w:val="24"/>
          <w:szCs w:val="24"/>
        </w:rPr>
        <w:t xml:space="preserve">1.3  Observaciones y comparación con Go</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La diferencia estructural más relevante entre MiniGO y Go es la ausencia de runtime. Go es un lenguaje con recolector de basura, scheduler de goroutines y un sistema de reflexión en tiempo de ejecución; MiniGO prescinde de todo ello y produce código que se enlaza directamente con las bibliotecas de C del sistema, lo que simplifica la generación de código pero impide reproducir fielmente abstracciones como los slices dinámicos. Otra diferencia práctica es el punto y coma: Go aplica inserción automática al final de cada línea, mientras que MiniGO exige que el programador los escriba de forma explícita, de modo que un programa copiado tal cual desde Go requiere ajustes antes de compilar.</w:t>
      </w:r>
    </w:p>
    <w:p w:rsidR="00DD5923" w:rsidRDefault="00DD5923">
      <w:pPr>
        <w:spacing w:before="40" w:after="40"/>
        <w:rPr>
          <w:rFonts w:ascii="Arial" w:hAnsi="Arial" w:cs="Arial"/>
          <w:sz w:val="24"/>
          <w:szCs w:val="24"/>
        </w:rPr>
      </w:pPr>
    </w:p>
    <w:tbl>
      <w:tblPr>
        <w:tblW w:w="8838" w:type="dxa"/>
        <w:jc w:val="center"/>
        <w:tblBorders>
          <w:insideH w:val="single" w:sz="4" w:space="0" w:color="595959"/>
          <w:insideV w:val="single" w:sz="4" w:space="0" w:color="595959"/>
        </w:tblBorders>
      </w:tblPr>
      <w:tblGrid>
        <w:gridCol w:w="2400"/>
        <w:gridCol w:w="3238"/>
        <w:gridCol w:w="3200"/>
      </w:tblGrid>
      <w:tr>
        <w:trPr>
          <w:trHeight w:val="320"/>
        </w:trPr>
        <w:tc>
          <w:tcPr>
            <w:tcW w:w="2400" w:type="dxa"/>
            <w:tcBorders>
              <w:top w:val="single" w:sz="4" w:space="0" w:color="595959"/>
              <w:left w:val="single" w:sz="4" w:space="0" w:color="595959"/>
              <w:bottom w:val="single" w:sz="4" w:space="0" w:color="595959"/>
              <w:right w:val="single" w:sz="4" w:space="0" w:color="595959"/>
            </w:tcBorders>
            <w:shd w:val="clear" w:color="auto" w:fill="404040"/>
            <w:tcMar>
              <w:top w:w="80" w:type="dxa"/>
              <w:left w:w="100" w:type="dxa"/>
              <w:bottom w:w="80" w:type="dxa"/>
              <w:right w:w="100" w:type="dxa"/>
            </w:tcMar>
          </w:tcPr>
          <w:p>
            <w:pPr>
              <w:spacing w:before="40" w:after="40"/>
              <w:jc w:val="center"/>
              <w:rPr>
                <w:rFonts w:ascii="Arial" w:hAnsi="Arial" w:cs="Arial"/>
                <w:b/>
                <w:bCs/>
                <w:color w:val="FFFFFF"/>
                <w:sz w:val="19"/>
                <w:szCs w:val="19"/>
              </w:rPr>
            </w:pPr>
            <w:r>
              <w:rPr>
                <w:rFonts w:ascii="Arial" w:hAnsi="Arial" w:cs="Arial"/>
                <w:b/>
                <w:bCs/>
                <w:color w:val="FFFFFF"/>
                <w:sz w:val="19"/>
                <w:szCs w:val="19"/>
              </w:rPr>
              <w:t xml:space="preserve">Característica</w:t>
            </w:r>
          </w:p>
        </w:tc>
        <w:tc>
          <w:tcPr>
            <w:tcW w:w="3238" w:type="dxa"/>
            <w:tcBorders>
              <w:top w:val="single" w:sz="4" w:space="0" w:color="595959"/>
              <w:left w:val="single" w:sz="4" w:space="0" w:color="595959"/>
              <w:bottom w:val="single" w:sz="4" w:space="0" w:color="595959"/>
              <w:right w:val="single" w:sz="4" w:space="0" w:color="595959"/>
            </w:tcBorders>
            <w:shd w:val="clear" w:color="auto" w:fill="404040"/>
            <w:tcMar>
              <w:top w:w="80" w:type="dxa"/>
              <w:left w:w="100" w:type="dxa"/>
              <w:bottom w:w="80" w:type="dxa"/>
              <w:right w:w="100" w:type="dxa"/>
            </w:tcMar>
          </w:tcPr>
          <w:p>
            <w:pPr>
              <w:spacing w:before="40" w:after="40"/>
              <w:jc w:val="center"/>
              <w:rPr>
                <w:rFonts w:ascii="Arial" w:hAnsi="Arial" w:cs="Arial"/>
                <w:b/>
                <w:bCs/>
                <w:color w:val="FFFFFF"/>
                <w:sz w:val="19"/>
                <w:szCs w:val="19"/>
              </w:rPr>
            </w:pPr>
            <w:r>
              <w:rPr>
                <w:rFonts w:ascii="Arial" w:hAnsi="Arial" w:cs="Arial"/>
                <w:b/>
                <w:bCs/>
                <w:color w:val="FFFFFF"/>
                <w:sz w:val="19"/>
                <w:szCs w:val="19"/>
              </w:rPr>
              <w:t xml:space="preserve">Go original</w:t>
            </w:r>
          </w:p>
        </w:tc>
        <w:tc>
          <w:tcPr>
            <w:tcW w:w="3200" w:type="dxa"/>
            <w:tcBorders>
              <w:top w:val="single" w:sz="4" w:space="0" w:color="595959"/>
              <w:left w:val="single" w:sz="4" w:space="0" w:color="595959"/>
              <w:bottom w:val="single" w:sz="4" w:space="0" w:color="595959"/>
              <w:right w:val="single" w:sz="4" w:space="0" w:color="595959"/>
            </w:tcBorders>
            <w:shd w:val="clear" w:color="auto" w:fill="404040"/>
            <w:tcMar>
              <w:top w:w="80" w:type="dxa"/>
              <w:left w:w="100" w:type="dxa"/>
              <w:bottom w:w="80" w:type="dxa"/>
              <w:right w:w="100" w:type="dxa"/>
            </w:tcMar>
          </w:tcPr>
          <w:p>
            <w:pPr>
              <w:spacing w:before="40" w:after="40"/>
              <w:jc w:val="center"/>
              <w:rPr>
                <w:rFonts w:ascii="Arial" w:hAnsi="Arial" w:cs="Arial"/>
                <w:b/>
                <w:bCs/>
                <w:color w:val="FFFFFF"/>
                <w:sz w:val="19"/>
                <w:szCs w:val="19"/>
              </w:rPr>
            </w:pPr>
            <w:r>
              <w:rPr>
                <w:rFonts w:ascii="Arial" w:hAnsi="Arial" w:cs="Arial"/>
                <w:b/>
                <w:bCs/>
                <w:color w:val="FFFFFF"/>
                <w:sz w:val="19"/>
                <w:szCs w:val="19"/>
              </w:rPr>
              <w:t xml:space="preserve">MiniGO</w:t>
            </w:r>
          </w:p>
        </w:tc>
      </w:tr>
      <w:tr>
        <w:trPr>
          <w:trHeight w:val="280"/>
        </w:trPr>
        <w:tc>
          <w:tcPr>
            <w:tcW w:w="24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Tipos primitivos</w:t>
            </w:r>
          </w:p>
        </w:tc>
        <w:tc>
          <w:tcPr>
            <w:tcW w:w="32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int, float32/64, bool, string, rune, byte, ...</w:t>
            </w:r>
          </w:p>
        </w:tc>
        <w:tc>
          <w:tcPr>
            <w:tcW w:w="3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int, float64, bool, string, rune</w:t>
            </w:r>
          </w:p>
        </w:tc>
      </w:tr>
      <w:tr>
        <w:trPr>
          <w:trHeight w:val="280"/>
        </w:trPr>
        <w:tc>
          <w:tcPr>
            <w:tcW w:w="24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Arreglos y slices</w:t>
            </w:r>
          </w:p>
        </w:tc>
        <w:tc>
          <w:tcPr>
            <w:tcW w:w="32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Semántica completa; append con realloc</w:t>
            </w:r>
          </w:p>
        </w:tc>
        <w:tc>
          <w:tcPr>
            <w:tcW w:w="3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Arreglos fijos en stack; append sin reasignación</w:t>
            </w:r>
          </w:p>
        </w:tc>
      </w:tr>
      <w:tr>
        <w:trPr>
          <w:trHeight w:val="280"/>
        </w:trPr>
        <w:tc>
          <w:tcPr>
            <w:tcW w:w="24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Structs</w:t>
            </w:r>
          </w:p>
        </w:tc>
        <w:tc>
          <w:tcPr>
            <w:tcW w:w="32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Completos con métodos receptor</w:t>
            </w:r>
          </w:p>
        </w:tc>
        <w:tc>
          <w:tcPr>
            <w:tcW w:w="3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Solo campos; sin métodos receptor</w:t>
            </w:r>
          </w:p>
        </w:tc>
      </w:tr>
      <w:tr>
        <w:trPr>
          <w:trHeight w:val="280"/>
        </w:trPr>
        <w:tc>
          <w:tcPr>
            <w:tcW w:w="24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Funciones</w:t>
            </w:r>
          </w:p>
        </w:tc>
        <w:tc>
          <w:tcPr>
            <w:tcW w:w="32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Closures, variadic, múltiple retorno</w:t>
            </w:r>
          </w:p>
        </w:tc>
        <w:tc>
          <w:tcPr>
            <w:tcW w:w="3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Sin closures; un único valor de retorno</w:t>
            </w:r>
          </w:p>
        </w:tc>
      </w:tr>
      <w:tr>
        <w:trPr>
          <w:trHeight w:val="280"/>
        </w:trPr>
        <w:tc>
          <w:tcPr>
            <w:tcW w:w="24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Control de flujo</w:t>
            </w:r>
          </w:p>
        </w:tc>
        <w:tc>
          <w:tcPr>
            <w:tcW w:w="32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if, for, switch, select, goto</w:t>
            </w:r>
          </w:p>
        </w:tc>
        <w:tc>
          <w:tcPr>
            <w:tcW w:w="3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if, for, switch (4 variantes cada uno)</w:t>
            </w:r>
          </w:p>
        </w:tc>
      </w:tr>
      <w:tr>
        <w:trPr>
          <w:trHeight w:val="280"/>
        </w:trPr>
        <w:tc>
          <w:tcPr>
            <w:tcW w:w="24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Inferencia de tipos</w:t>
            </w:r>
          </w:p>
        </w:tc>
        <w:tc>
          <w:tcPr>
            <w:tcW w:w="32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Primitivos y compuestos con :=</w:t>
            </w:r>
          </w:p>
        </w:tc>
        <w:tc>
          <w:tcPr>
            <w:tcW w:w="3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Solo primitivos con :=</w:t>
            </w:r>
          </w:p>
        </w:tc>
      </w:tr>
      <w:tr>
        <w:trPr>
          <w:trHeight w:val="280"/>
        </w:trPr>
        <w:tc>
          <w:tcPr>
            <w:tcW w:w="24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Punteros</w:t>
            </w:r>
          </w:p>
        </w:tc>
        <w:tc>
          <w:tcPr>
            <w:tcW w:w="32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Explícitos (&amp;, *)</w:t>
            </w:r>
          </w:p>
        </w:tc>
        <w:tc>
          <w:tcPr>
            <w:tcW w:w="3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No soportados</w:t>
            </w:r>
          </w:p>
        </w:tc>
      </w:tr>
      <w:tr>
        <w:trPr>
          <w:trHeight w:val="280"/>
        </w:trPr>
        <w:tc>
          <w:tcPr>
            <w:tcW w:w="24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Gestión de memoria</w:t>
            </w:r>
          </w:p>
        </w:tc>
        <w:tc>
          <w:tcPr>
            <w:tcW w:w="32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Garbage collector</w:t>
            </w:r>
          </w:p>
        </w:tc>
        <w:tc>
          <w:tcPr>
            <w:tcW w:w="3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Sin GC; asignación en stack</w:t>
            </w:r>
          </w:p>
        </w:tc>
      </w:tr>
      <w:tr>
        <w:trPr>
          <w:trHeight w:val="280"/>
        </w:trPr>
        <w:tc>
          <w:tcPr>
            <w:tcW w:w="24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Concurrencia</w:t>
            </w:r>
          </w:p>
        </w:tc>
        <w:tc>
          <w:tcPr>
            <w:tcW w:w="32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Goroutines y canales</w:t>
            </w:r>
          </w:p>
        </w:tc>
        <w:tc>
          <w:tcPr>
            <w:tcW w:w="3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No soportada</w:t>
            </w:r>
          </w:p>
        </w:tc>
      </w:tr>
      <w:tr>
        <w:trPr>
          <w:trHeight w:val="280"/>
        </w:trPr>
        <w:tc>
          <w:tcPr>
            <w:tcW w:w="24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Importaciones</w:t>
            </w:r>
          </w:p>
        </w:tc>
        <w:tc>
          <w:tcPr>
            <w:tcW w:w="32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Sistema de módulos completo</w:t>
            </w:r>
          </w:p>
        </w:tc>
        <w:tc>
          <w:tcPr>
            <w:tcW w:w="3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Solo package main, sin imports</w:t>
            </w:r>
          </w:p>
        </w:tc>
      </w:tr>
      <w:tr>
        <w:trPr>
          <w:trHeight w:val="280"/>
        </w:trPr>
        <w:tc>
          <w:tcPr>
            <w:tcW w:w="24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Objetivo de compilación</w:t>
            </w:r>
          </w:p>
        </w:tc>
        <w:tc>
          <w:tcPr>
            <w:tcW w:w="32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Multi-plataforma nativo</w:t>
            </w:r>
          </w:p>
        </w:tc>
        <w:tc>
          <w:tcPr>
            <w:tcW w:w="3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x86-64 vía LLVM</w:t>
            </w:r>
          </w:p>
        </w:tc>
      </w:tr>
    </w:tbl>
    <w:p w:rsidR="00DD5923" w:rsidRDefault="00DD5923">
      <w:pPr>
        <w:spacing w:before="40" w:after="40"/>
        <w:rPr>
          <w:rFonts w:ascii="Arial" w:hAnsi="Arial" w:cs="Arial"/>
          <w:sz w:val="24"/>
          <w:szCs w:val="24"/>
        </w:rPr>
      </w:pPr>
    </w:p>
    <w:p w:rsidR="00DD5923" w:rsidRDefault="00DD5923">
      <w:pPr>
        <w:pageBreakBefore/>
        <w:spacing w:before="240" w:after="100"/>
        <w:rPr>
          <w:rFonts w:ascii="Arial" w:hAnsi="Arial" w:cs="Arial"/>
          <w:b/>
          <w:bCs/>
          <w:sz w:val="28"/>
          <w:szCs w:val="28"/>
        </w:rPr>
      </w:pPr>
      <w:r>
        <w:rPr>
          <w:rFonts w:ascii="Arial" w:hAnsi="Arial" w:cs="Arial"/>
          <w:b/>
          <w:bCs/>
          <w:sz w:val="28"/>
          <w:szCs w:val="28"/>
        </w:rPr>
        <w:t xml:space="preserve">2. Soluciones e Implementación</w:t>
      </w:r>
    </w:p>
    <w:p w:rsidR="00DD5923" w:rsidRDefault="00DD5923">
      <w:pPr>
        <w:spacing w:before="160" w:after="60"/>
        <w:rPr>
          <w:rFonts w:ascii="Arial" w:hAnsi="Arial" w:cs="Arial"/>
          <w:b/>
          <w:bCs/>
          <w:sz w:val="24"/>
          <w:szCs w:val="24"/>
        </w:rPr>
      </w:pPr>
      <w:r>
        <w:rPr>
          <w:rFonts w:ascii="Arial" w:hAnsi="Arial" w:cs="Arial"/>
          <w:b/>
          <w:bCs/>
          <w:sz w:val="24"/>
          <w:szCs w:val="24"/>
        </w:rPr>
        <w:t xml:space="preserve">2.1  Pipeline de compilación</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El compilador opera en cuatro fases secuenciales. En la primera, el lexer generado por ANTLR4 tokeniza el código fuente; los errores léxicos son capturados por LexerErrorListener y almacenados en un ErrorCollector centralizado junto con la línea y columna exactas del problema, representadas por la clase SourceSpan. En la segunda fase, el parser construye el árbol de parseo; MiniGoErrorStrategy extiende la estrategia predeterminada de ANTLR4 con una política de pánico que consume tokens hasta encontrar un delimitador ({, }, ;), lo que permite reportar varios errores sintácticos independientes en una sola pasada sin interrumpir el análisis. La tercera fase es el recorrido semántico: TypeChecker extiende MiniGoParserBaseVisitor y verifica alcances y tipos mientras anota el árbol. La cuarta fase, MiniGoEncoder —también un visitor—, recorre el árbol anotado y emite LLVM IR mediante LLVMSharp.Interop; el IR se compila a código objeto x86-64 y se enlaza con ld.lld.exe junto con las bibliotecas de MinGW para producir el ejecutable nativo.</w:t>
      </w:r>
    </w:p>
    <w:p w:rsidR="00DD5923" w:rsidRDefault="00DD5923">
      <w:pPr>
        <w:spacing w:before="160" w:after="60"/>
        <w:rPr>
          <w:rFonts w:ascii="Arial" w:hAnsi="Arial" w:cs="Arial"/>
          <w:b/>
          <w:bCs/>
          <w:sz w:val="24"/>
          <w:szCs w:val="24"/>
        </w:rPr>
      </w:pPr>
      <w:r>
        <w:rPr>
          <w:rFonts w:ascii="Arial" w:hAnsi="Arial" w:cs="Arial"/>
          <w:b/>
          <w:bCs/>
          <w:sz w:val="24"/>
          <w:szCs w:val="24"/>
        </w:rPr>
        <w:t xml:space="preserve">2.2  Tabla de símbolos y verificación semántica</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La tabla de símbolos (SymbolsTable) se modela como una pila de alcances. El nivel inferior es el alcance global; cada función abre uno nuevo al entrar y lo elimina al salir. Esta estructura resuelve de manera natural las reglas de alcance del enunciado: dos identificadores con el mismo nombre coexisten en alcances distintos, pero una redeclaración en el mismo alcance se detecta de inmediato. Las funciones se registran en la tabla de símbolos al momento de visitar su declaración, en una única pasada de arriba hacia abajo; en consecuencia, una función solo puede invocarse si está declarada antes en el archivo o en el mismo nivel global ya procesado.</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Las verificaciones semánticas cubren todos los puntos del enunciado: unicidad de declaraciones por alcance, existencia de identificadores antes de uso, compatibilidad de tipos en asignaciones y expresiones binarias, número y tipo de argumentos en llamadas a funciones, tipo de retorno respecto a la declaración de la función, validez de campos de struct al accederlos, y coherencia de tipos en operaciones con arreglos y slices. Cada error incluye la línea y columna exactas obtenidas de SourceSpan.</w:t>
      </w:r>
    </w:p>
    <w:p w:rsidR="00DD5923" w:rsidRDefault="00DD5923">
      <w:pPr>
        <w:spacing w:before="160" w:after="60"/>
        <w:rPr>
          <w:rFonts w:ascii="Arial" w:hAnsi="Arial" w:cs="Arial"/>
          <w:b/>
          <w:bCs/>
          <w:sz w:val="24"/>
          <w:szCs w:val="24"/>
        </w:rPr>
      </w:pPr>
      <w:r>
        <w:rPr>
          <w:rFonts w:ascii="Arial" w:hAnsi="Arial" w:cs="Arial"/>
          <w:b/>
          <w:bCs/>
          <w:sz w:val="24"/>
          <w:szCs w:val="24"/>
        </w:rPr>
        <w:t xml:space="preserve">2.3  Generación de código con LLVM</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MiniGoEncoder emite instrucciones LLVM IR en representación SSA (Static Single Assignment) mediante LLVMSharp.Interop 20.1.2. Los tipos de MiniGO se mapean directamente: int a i32, float64 a double, bool a i1, rune a i32, string a puntero global constante a i8, y arreglos y structs a sus equivalentes LLVM. La función LlvmTypeFromDecl() resuelve tipos complejos directamente desde el árbol de parseo, evitando la degradación a i32 que producía la ruta anterior basada en TypeResolver.</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Tres aspectos técnicos merecen detalle. Primero, los named structs: LLVM deduplica automáticamente los tipos struct con idéntico layout de campos, lo que provocaba colisiones entre structs distintos. La solución fue crear cada struct con CreateNamedStruct() sobre el contexto global, garantizando identidad por nombre independientemente del layout. Segundo, el for clásico (init;cond;post) incluye un bloque LLVM dedicado loop.post para el post-statement; continue dirige el flujo a este bloque —no al de condición—, de modo que el incremento siempre se ejecuta antes de la siguiente evaluación. Tercero, el switch implementa dos estrategias: BuildSwitch de LLVM para casos con sujeto entero, y una cadena if/else generada por EmitBareSwitch para las formas bare o con condiciones booleanas por caso, dado que BuildSwitch exige valores enteros constantes. Las funciones print y println se apoyan en printf de libc con el formato construido en tiempo de compilación según el tipo de cada argumento. La única línea unsafe del encoder llama a LLVM.PositionBuilderAtEnd con punteros raw, porque LLVMSharp 20.1.2 no expone ese método como instancia.</w:t>
      </w:r>
    </w:p>
    <w:p w:rsidR="00DD5923" w:rsidRDefault="00DD5923">
      <w:pPr>
        <w:spacing w:before="160" w:after="60"/>
        <w:rPr>
          <w:rFonts w:ascii="Arial" w:hAnsi="Arial" w:cs="Arial"/>
          <w:b/>
          <w:bCs/>
          <w:sz w:val="24"/>
          <w:szCs w:val="24"/>
        </w:rPr>
      </w:pPr>
      <w:r>
        <w:rPr>
          <w:rFonts w:ascii="Arial" w:hAnsi="Arial" w:cs="Arial"/>
          <w:b/>
          <w:bCs/>
          <w:sz w:val="24"/>
          <w:szCs w:val="24"/>
        </w:rPr>
        <w:t xml:space="preserve">2.4  IDE gráfico</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El IDE fue implementado en WPF (.NET 8) con AvalonEdit 6.3.1. El editor presenta numeración de líneas, tema oscuro y resaltado de sintaxis personalizado mediante un archivo XSHD con colores diferenciados para palabras clave, tipos primitivos, funciones predefinidas, literales y comentarios. La compilación en tiempo real opera con un debounce de 500 ms: cada modificación al texto programa una nueva pasada de lexer + parser + TypeChecker; los errores se subrayan con un IBackgroundRenderer personalizado y se listan en un DataGrid con severidad, línea, columna y mensaje; un doble clic sobre cualquier error desplaza el cursor a la posición exacta. La construcción del ejecutable (F6) y su ejecución (F5) están vinculadas con RoutedCommand e InputBindings, de modo que funcionan con el foco en cualquier control. El explorador de archivos lateral usa un TreeView con carga lazy; abrir un archivo dispara automáticamente la compilación en tiempo real.</w:t>
      </w:r>
    </w:p>
    <w:p w:rsidR="00DD5923" w:rsidRDefault="00DD5923">
      <w:pPr>
        <w:pageBreakBefore/>
        <w:spacing w:before="240" w:after="100"/>
        <w:rPr>
          <w:rFonts w:ascii="Arial" w:hAnsi="Arial" w:cs="Arial"/>
          <w:b/>
          <w:bCs/>
          <w:sz w:val="28"/>
          <w:szCs w:val="28"/>
        </w:rPr>
      </w:pPr>
      <w:r>
        <w:rPr>
          <w:rFonts w:ascii="Arial" w:hAnsi="Arial" w:cs="Arial"/>
          <w:b/>
          <w:bCs/>
          <w:sz w:val="28"/>
          <w:szCs w:val="28"/>
        </w:rPr>
        <w:t xml:space="preserve">3. Resultados Obtenidos</w:t>
      </w:r>
    </w:p>
    <w:p w:rsidR="00DD5923" w:rsidRDefault="00DD5923">
      <w:pPr>
        <w:spacing w:before="160" w:after="60"/>
        <w:rPr>
          <w:rFonts w:ascii="Arial" w:hAnsi="Arial" w:cs="Arial"/>
          <w:b/>
          <w:bCs/>
          <w:sz w:val="24"/>
          <w:szCs w:val="24"/>
        </w:rPr>
      </w:pPr>
      <w:r>
        <w:rPr>
          <w:rFonts w:ascii="Arial" w:hAnsi="Arial" w:cs="Arial"/>
          <w:b/>
          <w:bCs/>
          <w:sz w:val="24"/>
          <w:szCs w:val="24"/>
        </w:rPr>
        <w:t xml:space="preserve">3.1  Lo implementado</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El compilador cubre la totalidad de los puntos de la rúbrica de evaluación. La tabla siguiente resume el estado por componente:</w:t>
      </w:r>
    </w:p>
    <w:p w:rsidR="00DD5923" w:rsidRDefault="00DD5923">
      <w:pPr>
        <w:spacing w:before="40" w:after="40"/>
        <w:rPr>
          <w:rFonts w:ascii="Arial" w:hAnsi="Arial" w:cs="Arial"/>
          <w:sz w:val="24"/>
          <w:szCs w:val="24"/>
        </w:rPr>
      </w:pPr>
    </w:p>
    <w:tbl>
      <w:tblPr>
        <w:tblW w:w="8838" w:type="dxa"/>
        <w:jc w:val="center"/>
        <w:tblBorders>
          <w:insideH w:val="single" w:sz="4" w:space="0" w:color="595959"/>
          <w:insideV w:val="single" w:sz="4" w:space="0" w:color="595959"/>
        </w:tblBorders>
      </w:tblPr>
      <w:tblGrid>
        <w:gridCol w:w="1900"/>
        <w:gridCol w:w="1200"/>
        <w:gridCol w:w="5738"/>
      </w:tblGrid>
      <w:tr>
        <w:trPr>
          <w:trHeight w:val="320"/>
        </w:trPr>
        <w:tc>
          <w:tcPr>
            <w:tcW w:w="1900" w:type="dxa"/>
            <w:tcBorders>
              <w:top w:val="single" w:sz="4" w:space="0" w:color="595959"/>
              <w:left w:val="single" w:sz="4" w:space="0" w:color="595959"/>
              <w:bottom w:val="single" w:sz="4" w:space="0" w:color="595959"/>
              <w:right w:val="single" w:sz="4" w:space="0" w:color="595959"/>
            </w:tcBorders>
            <w:shd w:val="clear" w:color="auto" w:fill="404040"/>
            <w:tcMar>
              <w:top w:w="80" w:type="dxa"/>
              <w:left w:w="100" w:type="dxa"/>
              <w:bottom w:w="80" w:type="dxa"/>
              <w:right w:w="100" w:type="dxa"/>
            </w:tcMar>
          </w:tcPr>
          <w:p>
            <w:pPr>
              <w:spacing w:before="40" w:after="40"/>
              <w:jc w:val="center"/>
              <w:rPr>
                <w:rFonts w:ascii="Arial" w:hAnsi="Arial" w:cs="Arial"/>
                <w:b/>
                <w:bCs/>
                <w:color w:val="FFFFFF"/>
                <w:sz w:val="18"/>
                <w:szCs w:val="18"/>
              </w:rPr>
            </w:pPr>
            <w:r>
              <w:rPr>
                <w:rFonts w:ascii="Arial" w:hAnsi="Arial" w:cs="Arial"/>
                <w:b/>
                <w:bCs/>
                <w:color w:val="FFFFFF"/>
                <w:sz w:val="18"/>
                <w:szCs w:val="18"/>
              </w:rPr>
              <w:t xml:space="preserve">Componente</w:t>
            </w:r>
          </w:p>
        </w:tc>
        <w:tc>
          <w:tcPr>
            <w:tcW w:w="1200" w:type="dxa"/>
            <w:tcBorders>
              <w:top w:val="single" w:sz="4" w:space="0" w:color="595959"/>
              <w:left w:val="single" w:sz="4" w:space="0" w:color="595959"/>
              <w:bottom w:val="single" w:sz="4" w:space="0" w:color="595959"/>
              <w:right w:val="single" w:sz="4" w:space="0" w:color="595959"/>
            </w:tcBorders>
            <w:shd w:val="clear" w:color="auto" w:fill="404040"/>
            <w:tcMar>
              <w:top w:w="80" w:type="dxa"/>
              <w:left w:w="100" w:type="dxa"/>
              <w:bottom w:w="80" w:type="dxa"/>
              <w:right w:w="100" w:type="dxa"/>
            </w:tcMar>
          </w:tcPr>
          <w:p>
            <w:pPr>
              <w:spacing w:before="40" w:after="40"/>
              <w:jc w:val="center"/>
              <w:rPr>
                <w:rFonts w:ascii="Arial" w:hAnsi="Arial" w:cs="Arial"/>
                <w:b/>
                <w:bCs/>
                <w:color w:val="FFFFFF"/>
                <w:sz w:val="18"/>
                <w:szCs w:val="18"/>
              </w:rPr>
            </w:pPr>
            <w:r>
              <w:rPr>
                <w:rFonts w:ascii="Arial" w:hAnsi="Arial" w:cs="Arial"/>
                <w:b/>
                <w:bCs/>
                <w:color w:val="FFFFFF"/>
                <w:sz w:val="18"/>
                <w:szCs w:val="18"/>
              </w:rPr>
              <w:t xml:space="preserve">Estado</w:t>
            </w:r>
          </w:p>
        </w:tc>
        <w:tc>
          <w:tcPr>
            <w:tcW w:w="5738" w:type="dxa"/>
            <w:tcBorders>
              <w:top w:val="single" w:sz="4" w:space="0" w:color="595959"/>
              <w:left w:val="single" w:sz="4" w:space="0" w:color="595959"/>
              <w:bottom w:val="single" w:sz="4" w:space="0" w:color="595959"/>
              <w:right w:val="single" w:sz="4" w:space="0" w:color="595959"/>
            </w:tcBorders>
            <w:shd w:val="clear" w:color="auto" w:fill="404040"/>
            <w:tcMar>
              <w:top w:w="80" w:type="dxa"/>
              <w:left w:w="100" w:type="dxa"/>
              <w:bottom w:w="80" w:type="dxa"/>
              <w:right w:w="100" w:type="dxa"/>
            </w:tcMar>
          </w:tcPr>
          <w:p>
            <w:pPr>
              <w:spacing w:before="40" w:after="40"/>
              <w:jc w:val="center"/>
              <w:rPr>
                <w:rFonts w:ascii="Arial" w:hAnsi="Arial" w:cs="Arial"/>
                <w:b/>
                <w:bCs/>
                <w:color w:val="FFFFFF"/>
                <w:sz w:val="18"/>
                <w:szCs w:val="18"/>
              </w:rPr>
            </w:pPr>
            <w:r>
              <w:rPr>
                <w:rFonts w:ascii="Arial" w:hAnsi="Arial" w:cs="Arial"/>
                <w:b/>
                <w:bCs/>
                <w:color w:val="FFFFFF"/>
                <w:sz w:val="18"/>
                <w:szCs w:val="18"/>
              </w:rPr>
              <w:t xml:space="preserve">Observaciones</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GUI — Editor</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Tema oscuro, numeración de líneas, resaltado de sintaxis MiniGO, explorador de archivos con carga lazy</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GUI — Compilación y ejecución</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Build F6 y Run F5 con RoutedCommand; errores identificados con línea y columna exactas</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GUI — Manejo de archivos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Abrir, guardar y guardar como; apertura dispara compilación automática en tiempo real</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Scanner — Tokens simples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Keywords, operadores, delimitadores; todos los tokens válidos de MiniGO</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Scanner — Tokens complejos y comentarios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Literales float, raw string, rune con escapes; comentarios // y /* */</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Scanner — Errores léxicos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LexerErrorListener reporta con línea y columna vía SourceSpan</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Parser — Declaraciones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var, type/struct y func con todas sus variantes</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Parser — Statements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if/else, 4 variantes de for, 4 variantes de switch, return, break, continue</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Parser — Expresiones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Binarias, unarias, índice, selector de campo, llamadas a predefinidos</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Parser — Errores sintácticos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MiniGoErrorStrategy con recuperación de pánico; múltiples errores en una pasada</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Semántica — Tabla de símbolos y Visitor</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SymbolsTable stack-based; TypeChecker y MiniGoEncoder como BaseVisitor de ANTLR4</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Semántica — Control de alcances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Unicidad, existencia, aridad, tipos de argumentos, campos de struct; errores con fila/columna</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Semántica — Verificación de tipos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Asignaciones, expresiones lógicas, arrays/slices, structs, retorno; errores con fila/columna</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Codegen — Variables y expresiones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Globales, locales, parámetros; expresiones aritméticas, lógicas y de comparación</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Codegen — Arreglos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Declaración, lectura, escritura e instrucción len sobre arreglos de enteros</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Codegen — Funciones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Con y sin parámetros, con y sin retorno; structs por valor como argumento y retorno</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Codegen — Control de flujo</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if/else, 4 variantes de for con break y continue, 4 variantes de switch</w:t>
            </w:r>
          </w:p>
        </w:tc>
      </w:tr>
      <w:tr>
        <w:trPr>
          <w:trHeight w:val="280"/>
        </w:trPr>
        <w:tc>
          <w:tcPr>
            <w:tcW w:w="19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Codegen — Predefinidos</w:t>
            </w:r>
          </w:p>
        </w:tc>
        <w:tc>
          <w:tcPr>
            <w:tcW w:w="12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Completo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8"/>
                <w:szCs w:val="18"/>
              </w:rPr>
            </w:pPr>
            <w:r>
              <w:rPr>
                <w:rFonts w:ascii="Arial" w:hAnsi="Arial" w:cs="Arial"/>
                <w:sz w:val="18"/>
                <w:szCs w:val="18"/>
              </w:rPr>
              <w:t xml:space="preserve">println, print (sobre printf de libc), len, cap, append</w:t>
            </w:r>
          </w:p>
        </w:tc>
      </w:tr>
    </w:tbl>
    <w:p w:rsidR="00DD5923" w:rsidRDefault="00DD5923">
      <w:pPr>
        <w:spacing w:before="40" w:after="40"/>
        <w:rPr>
          <w:rFonts w:ascii="Arial" w:hAnsi="Arial" w:cs="Arial"/>
          <w:sz w:val="24"/>
          <w:szCs w:val="24"/>
        </w:rPr>
      </w:pPr>
    </w:p>
    <w:p w:rsidR="00DD5923" w:rsidRDefault="00DD5923">
      <w:pPr>
        <w:spacing w:before="160" w:after="60"/>
        <w:rPr>
          <w:rFonts w:ascii="Arial" w:hAnsi="Arial" w:cs="Arial"/>
          <w:b/>
          <w:bCs/>
          <w:sz w:val="24"/>
          <w:szCs w:val="24"/>
        </w:rPr>
      </w:pPr>
      <w:r>
        <w:rPr>
          <w:rFonts w:ascii="Arial" w:hAnsi="Arial" w:cs="Arial"/>
          <w:b/>
          <w:bCs/>
          <w:sz w:val="24"/>
          <w:szCs w:val="24"/>
        </w:rPr>
        <w:t xml:space="preserve">3.2  Lo no implementado</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Los elementos siguientes no forman parte de la entrega, ya sea porque caen fuera del alcance definido por el enunciado o porque su implementación requiere infraestructura de runtime que MiniGO no incorpora. Se incluye la razón técnica de cada ausencia para facilitar la evaluación.</w:t>
      </w:r>
    </w:p>
    <w:p w:rsidR="00DD5923" w:rsidRDefault="00DD5923">
      <w:pPr>
        <w:spacing w:before="40" w:after="40"/>
        <w:rPr>
          <w:rFonts w:ascii="Arial" w:hAnsi="Arial" w:cs="Arial"/>
          <w:sz w:val="24"/>
          <w:szCs w:val="24"/>
        </w:rPr>
      </w:pPr>
    </w:p>
    <w:tbl>
      <w:tblPr>
        <w:tblW w:w="8838" w:type="dxa"/>
        <w:jc w:val="center"/>
        <w:tblBorders>
          <w:insideH w:val="single" w:sz="4" w:space="0" w:color="595959"/>
          <w:insideV w:val="single" w:sz="4" w:space="0" w:color="595959"/>
        </w:tblBorders>
      </w:tblPr>
      <w:tblGrid>
        <w:gridCol w:w="3100"/>
        <w:gridCol w:w="5738"/>
      </w:tblGrid>
      <w:tr>
        <w:trPr>
          <w:trHeight w:val="320"/>
        </w:trPr>
        <w:tc>
          <w:tcPr>
            <w:tcW w:w="3100" w:type="dxa"/>
            <w:tcBorders>
              <w:top w:val="single" w:sz="4" w:space="0" w:color="595959"/>
              <w:left w:val="single" w:sz="4" w:space="0" w:color="595959"/>
              <w:bottom w:val="single" w:sz="4" w:space="0" w:color="595959"/>
              <w:right w:val="single" w:sz="4" w:space="0" w:color="595959"/>
            </w:tcBorders>
            <w:shd w:val="clear" w:color="auto" w:fill="404040"/>
            <w:tcMar>
              <w:top w:w="80" w:type="dxa"/>
              <w:left w:w="100" w:type="dxa"/>
              <w:bottom w:w="80" w:type="dxa"/>
              <w:right w:w="100" w:type="dxa"/>
            </w:tcMar>
          </w:tcPr>
          <w:p>
            <w:pPr>
              <w:spacing w:before="40" w:after="40"/>
              <w:jc w:val="center"/>
              <w:rPr>
                <w:rFonts w:ascii="Arial" w:hAnsi="Arial" w:cs="Arial"/>
                <w:b/>
                <w:bCs/>
                <w:color w:val="FFFFFF"/>
                <w:sz w:val="19"/>
                <w:szCs w:val="19"/>
              </w:rPr>
            </w:pPr>
            <w:r>
              <w:rPr>
                <w:rFonts w:ascii="Arial" w:hAnsi="Arial" w:cs="Arial"/>
                <w:b/>
                <w:bCs/>
                <w:color w:val="FFFFFF"/>
                <w:sz w:val="19"/>
                <w:szCs w:val="19"/>
              </w:rPr>
              <w:t xml:space="preserve">Elemento</w:t>
            </w:r>
          </w:p>
        </w:tc>
        <w:tc>
          <w:tcPr>
            <w:tcW w:w="5738" w:type="dxa"/>
            <w:tcBorders>
              <w:top w:val="single" w:sz="4" w:space="0" w:color="595959"/>
              <w:left w:val="single" w:sz="4" w:space="0" w:color="595959"/>
              <w:bottom w:val="single" w:sz="4" w:space="0" w:color="595959"/>
              <w:right w:val="single" w:sz="4" w:space="0" w:color="595959"/>
            </w:tcBorders>
            <w:shd w:val="clear" w:color="auto" w:fill="404040"/>
            <w:tcMar>
              <w:top w:w="80" w:type="dxa"/>
              <w:left w:w="100" w:type="dxa"/>
              <w:bottom w:w="80" w:type="dxa"/>
              <w:right w:w="100" w:type="dxa"/>
            </w:tcMar>
          </w:tcPr>
          <w:p>
            <w:pPr>
              <w:spacing w:before="40" w:after="40"/>
              <w:jc w:val="center"/>
              <w:rPr>
                <w:rFonts w:ascii="Arial" w:hAnsi="Arial" w:cs="Arial"/>
                <w:b/>
                <w:bCs/>
                <w:color w:val="FFFFFF"/>
                <w:sz w:val="19"/>
                <w:szCs w:val="19"/>
              </w:rPr>
            </w:pPr>
            <w:r>
              <w:rPr>
                <w:rFonts w:ascii="Arial" w:hAnsi="Arial" w:cs="Arial"/>
                <w:b/>
                <w:bCs/>
                <w:color w:val="FFFFFF"/>
                <w:sz w:val="19"/>
                <w:szCs w:val="19"/>
              </w:rPr>
              <w:t xml:space="preserve">Razón de ausencia</w:t>
            </w:r>
          </w:p>
        </w:tc>
      </w:tr>
      <w:tr>
        <w:trPr>
          <w:trHeight w:val="280"/>
        </w:trPr>
        <w:tc>
          <w:tcPr>
            <w:tcW w:w="31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Slices con crecimiento dinámico (append real)</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Requiere gestión de heap con malloc/realloc; fuera del alcance del enunciado. append en MiniGO devuelve el mismo arreglo fijo.</w:t>
            </w:r>
          </w:p>
        </w:tc>
      </w:tr>
      <w:tr>
        <w:trPr>
          <w:trHeight w:val="280"/>
        </w:trPr>
        <w:tc>
          <w:tcPr>
            <w:tcW w:w="31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Punteros explícitos (&amp; y *)</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No definidos en la gramática de MiniGO ni solicitados en el enunciado.</w:t>
            </w:r>
          </w:p>
        </w:tc>
      </w:tr>
      <w:tr>
        <w:trPr>
          <w:trHeight w:val="280"/>
        </w:trPr>
        <w:tc>
          <w:tcPr>
            <w:tcW w:w="31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Múltiples valores de retorno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No soportados en la gramática de MiniGO; una función retorna un único valor.</w:t>
            </w:r>
          </w:p>
        </w:tc>
      </w:tr>
      <w:tr>
        <w:trPr>
          <w:trHeight w:val="280"/>
        </w:trPr>
        <w:tc>
          <w:tcPr>
            <w:tcW w:w="31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Interfaces y polimorfismo</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No definidos en la gramática. Requieren tabla de métodos virtuales en runtime.</w:t>
            </w:r>
          </w:p>
        </w:tc>
      </w:tr>
      <w:tr>
        <w:trPr>
          <w:trHeight w:val="280"/>
        </w:trPr>
        <w:tc>
          <w:tcPr>
            <w:tcW w:w="31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Goroutines y canales</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No soportados. Exigen un scheduler de goroutines que es parte del runtime de Go.</w:t>
            </w:r>
          </w:p>
        </w:tc>
      </w:tr>
      <w:tr>
        <w:trPr>
          <w:trHeight w:val="280"/>
        </w:trPr>
        <w:tc>
          <w:tcPr>
            <w:tcW w:w="31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Importaciones de paquetes externos</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La gramática solo admite package main. No hay sistema de módulos.</w:t>
            </w:r>
          </w:p>
        </w:tc>
      </w:tr>
      <w:tr>
        <w:trPr>
          <w:trHeight w:val="280"/>
        </w:trPr>
        <w:tc>
          <w:tcPr>
            <w:tcW w:w="31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Optimizaciones LLVM (optimization passes)</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El IR generado es sin optimizar. Las passes de LLVM quedan fuera del alcance del curso.</w:t>
            </w:r>
          </w:p>
        </w:tc>
      </w:tr>
      <w:tr>
        <w:trPr>
          <w:trHeight w:val="280"/>
        </w:trPr>
        <w:tc>
          <w:tcPr>
            <w:tcW w:w="3100"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Short-circuit en &amp;&amp; y ||</w:t>
            </w:r>
          </w:p>
        </w:tc>
        <w:tc>
          <w:tcPr>
            <w:tcW w:w="5738" w:type="dxa"/>
            <w:tcBorders>
              <w:top w:val="single" w:sz="4" w:space="0" w:color="595959"/>
              <w:left w:val="single" w:sz="4" w:space="0" w:color="595959"/>
              <w:bottom w:val="single" w:sz="4" w:space="0" w:color="595959"/>
              <w:right w:val="single" w:sz="4" w:space="0" w:color="595959"/>
            </w:tcBorders>
            <w:tcMar>
              <w:top w:w="80" w:type="dxa"/>
              <w:left w:w="100" w:type="dxa"/>
              <w:bottom w:w="80" w:type="dxa"/>
              <w:right w:w="100" w:type="dxa"/>
            </w:tcMar>
          </w:tcPr>
          <w:p>
            <w:pPr>
              <w:spacing w:before="40" w:after="40"/>
              <w:jc w:val="both"/>
              <w:rPr>
                <w:rFonts w:ascii="Arial" w:hAnsi="Arial" w:cs="Arial"/>
                <w:sz w:val="19"/>
                <w:szCs w:val="19"/>
              </w:rPr>
            </w:pPr>
            <w:r>
              <w:rPr>
                <w:rFonts w:ascii="Arial" w:hAnsi="Arial" w:cs="Arial"/>
                <w:sz w:val="19"/>
                <w:szCs w:val="19"/>
              </w:rPr>
              <w:t xml:space="preserve">Se usan BuildAnd/BuildOr que evalúan ambos operandos. El resultado es correcto para todo el alcance del proyecto, aunque difiere del comportamiento de Go estricto.</w:t>
            </w:r>
          </w:p>
        </w:tc>
      </w:tr>
    </w:tbl>
    <w:p w:rsidR="00DD5923" w:rsidRDefault="00DD5923">
      <w:pPr>
        <w:spacing w:before="40" w:after="40"/>
        <w:rPr>
          <w:rFonts w:ascii="Arial" w:hAnsi="Arial" w:cs="Arial"/>
          <w:sz w:val="24"/>
          <w:szCs w:val="24"/>
        </w:rPr>
      </w:pPr>
    </w:p>
    <w:p w:rsidR="00DD5923" w:rsidRDefault="00DD5923">
      <w:pPr>
        <w:spacing w:before="240" w:after="100"/>
        <w:rPr>
          <w:rFonts w:ascii="Arial" w:hAnsi="Arial" w:cs="Arial"/>
          <w:b/>
          <w:bCs/>
          <w:sz w:val="28"/>
          <w:szCs w:val="28"/>
        </w:rPr>
      </w:pPr>
      <w:r>
        <w:rPr>
          <w:rFonts w:ascii="Arial" w:hAnsi="Arial" w:cs="Arial"/>
          <w:b/>
          <w:bCs/>
          <w:sz w:val="28"/>
          <w:szCs w:val="28"/>
        </w:rPr>
        <w:t xml:space="preserve">4. Conclusiones</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El desarrollo del compilador MiniGO confirma en la práctica la utilidad de las fases clásicas de compilación como unidades de trabajo independientes. Cada fase —léxico, sintáctico, semántico y generación de código— recibe la salida de la anterior y expone al siguiente nivel una representación más rica del programa; esta dependencia hace que los errores no detectados en una fase se multipliquen en las siguientes, lo que reforzó la disciplina de verificar cada componente de forma aislada antes de integrarlo.</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La generación de código con LLVM concentró la mayor parte del esfuerzo técnico. Trabajar en representación SSA exige razonar en términos de bloques básicos y terminadores en lugar de sentencias lineales, lo cual implica un cambio de modelo mental no inmediato. Las decisiones específicas adoptadas —named structs para evitar deduplicación, bloque loop.post para el continue, estrategias duales para el switch— no surgieron de la teoría sino de errores observados directamente en el IR generado, lo que evidenció el valor de las herramientas de diagnóstico de LLVM (llvm-dis) para el proceso de depuración.</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ANTLR4 y el patrón Visitor resultaron una combinación efectiva para las fases intermedias. La gramática actúa como documentación ejecutable del lenguaje, y el patrón Visitor separa las preocupaciones de forma limpia: TypeChecker no modifica el árbol y MiniGoEncoder no verifica tipos, lo que facilitó la depuración y la prueba de cada fase de manera independiente. Esta separación también demostró ser extensible: agregar soporte para una nueva construcción (por ejemplo, las cuatro variantes del switch o los structs por valor) implicó añadir métodos al visitor correspondiente sin alterar la arquitectura general.</w:t>
      </w:r>
    </w:p>
    <w:p w:rsidR="00DD5923" w:rsidRDefault="00DD5923">
      <w:pPr>
        <w:spacing w:before="40" w:after="100" w:line="270" w:lineRule="auto"/>
        <w:jc w:val="both"/>
        <w:rPr>
          <w:rFonts w:ascii="Arial" w:hAnsi="Arial" w:cs="Arial"/>
          <w:sz w:val="24"/>
          <w:szCs w:val="24"/>
        </w:rPr>
      </w:pPr>
      <w:r>
        <w:rPr>
          <w:rFonts w:ascii="Arial" w:hAnsi="Arial" w:cs="Arial"/>
          <w:sz w:val="24"/>
          <w:szCs w:val="24"/>
        </w:rPr>
        <w:t xml:space="preserve">El compilador supera el alcance mínimo requerido por el enunciado: se implementaron break y continue, las cuatro variantes de switch, structs como argumentos y retorno por valor, y las funciones predefinidas cap y append, elementos que el enunciado no exigía de manera obligatoria. Esta cobertura adicional fue consecuencia natural de una arquitectura de fases bien definida y no requirió cambios estructurales.</w:t>
      </w:r>
    </w:p>
    <w:p w:rsidR="00DD5923" w:rsidRDefault="00DD5923">
      <w:pPr>
        <w:spacing w:before="240" w:after="100"/>
        <w:rPr>
          <w:rFonts w:ascii="Arial" w:hAnsi="Arial" w:cs="Arial"/>
          <w:b/>
          <w:bCs/>
          <w:sz w:val="28"/>
          <w:szCs w:val="28"/>
        </w:rPr>
      </w:pPr>
      <w:r>
        <w:rPr>
          <w:rFonts w:ascii="Arial" w:hAnsi="Arial" w:cs="Arial"/>
          <w:b/>
          <w:bCs/>
          <w:sz w:val="28"/>
          <w:szCs w:val="28"/>
        </w:rPr>
        <w:t xml:space="preserve">5. Bibliografía</w:t>
      </w:r>
    </w:p>
    <w:p w:rsidR="00DD5923" w:rsidRDefault="00DD5923">
      <w:pPr>
        <w:spacing w:before="40" w:after="40"/>
        <w:ind w:left="720" w:hanging="720"/>
        <w:rPr>
          <w:rFonts w:ascii="Arial" w:hAnsi="Arial" w:cs="Arial"/>
          <w:sz w:val="22"/>
          <w:szCs w:val="22"/>
        </w:rPr>
      </w:pPr>
      <w:r>
        <w:rPr>
          <w:rFonts w:ascii="Arial" w:hAnsi="Arial" w:cs="Arial"/>
          <w:sz w:val="22"/>
          <w:szCs w:val="22"/>
        </w:rPr>
        <w:t xml:space="preserve">Parr, T. (2013). </w:t>
      </w:r>
      <w:r>
        <w:rPr>
          <w:rFonts w:ascii="Arial" w:hAnsi="Arial" w:cs="Arial"/>
          <w:i/>
          <w:iCs/>
          <w:sz w:val="22"/>
          <w:szCs w:val="22"/>
        </w:rPr>
        <w:t xml:space="preserve">The Definitive ANTLR 4 Reference</w:t>
      </w:r>
      <w:r>
        <w:rPr>
          <w:rFonts w:ascii="Arial" w:hAnsi="Arial" w:cs="Arial"/>
          <w:sz w:val="22"/>
          <w:szCs w:val="22"/>
        </w:rPr>
        <w:t xml:space="preserve">. Pragmatic Bookshelf.</w:t>
      </w:r>
    </w:p>
    <w:p w:rsidR="00DD5923" w:rsidRDefault="00DD5923">
      <w:pPr>
        <w:spacing w:before="40" w:after="40"/>
        <w:ind w:left="720" w:hanging="720"/>
        <w:rPr>
          <w:rFonts w:ascii="Arial" w:hAnsi="Arial" w:cs="Arial"/>
          <w:sz w:val="22"/>
          <w:szCs w:val="22"/>
        </w:rPr>
      </w:pPr>
      <w:r>
        <w:rPr>
          <w:rFonts w:ascii="Arial" w:hAnsi="Arial" w:cs="Arial"/>
          <w:sz w:val="22"/>
          <w:szCs w:val="22"/>
        </w:rPr>
        <w:t xml:space="preserve">LLVM Project. (2024). </w:t>
      </w:r>
      <w:r>
        <w:rPr>
          <w:rFonts w:ascii="Arial" w:hAnsi="Arial" w:cs="Arial"/>
          <w:i/>
          <w:iCs/>
          <w:sz w:val="22"/>
          <w:szCs w:val="22"/>
        </w:rPr>
        <w:t xml:space="preserve">LLVM Language Reference Manual</w:t>
      </w:r>
      <w:r>
        <w:rPr>
          <w:rFonts w:ascii="Arial" w:hAnsi="Arial" w:cs="Arial"/>
          <w:sz w:val="22"/>
          <w:szCs w:val="22"/>
        </w:rPr>
        <w:t xml:space="preserve">. Recuperado de https://llvm.org/docs/LangRef.html</w:t>
      </w:r>
    </w:p>
    <w:p w:rsidR="00DD5923" w:rsidRDefault="00DD5923">
      <w:pPr>
        <w:spacing w:before="40" w:after="40"/>
        <w:ind w:left="720" w:hanging="720"/>
        <w:rPr>
          <w:rFonts w:ascii="Arial" w:hAnsi="Arial" w:cs="Arial"/>
          <w:sz w:val="22"/>
          <w:szCs w:val="22"/>
        </w:rPr>
      </w:pPr>
      <w:r>
        <w:rPr>
          <w:rFonts w:ascii="Arial" w:hAnsi="Arial" w:cs="Arial"/>
          <w:sz w:val="22"/>
          <w:szCs w:val="22"/>
        </w:rPr>
        <w:t xml:space="preserve">LLVM Project. (2024). </w:t>
      </w:r>
      <w:r>
        <w:rPr>
          <w:rFonts w:ascii="Arial" w:hAnsi="Arial" w:cs="Arial"/>
          <w:i/>
          <w:iCs/>
          <w:sz w:val="22"/>
          <w:szCs w:val="22"/>
        </w:rPr>
        <w:t xml:space="preserve">LLVM Programmer's Manual</w:t>
      </w:r>
      <w:r>
        <w:rPr>
          <w:rFonts w:ascii="Arial" w:hAnsi="Arial" w:cs="Arial"/>
          <w:sz w:val="22"/>
          <w:szCs w:val="22"/>
        </w:rPr>
        <w:t xml:space="preserve">. Recuperado de https://llvm.org/docs/ProgrammersManual.html</w:t>
      </w:r>
    </w:p>
    <w:p w:rsidR="00DD5923" w:rsidRDefault="00DD5923">
      <w:pPr>
        <w:spacing w:before="40" w:after="40"/>
        <w:ind w:left="720" w:hanging="720"/>
        <w:rPr>
          <w:rFonts w:ascii="Arial" w:hAnsi="Arial" w:cs="Arial"/>
          <w:sz w:val="22"/>
          <w:szCs w:val="22"/>
        </w:rPr>
      </w:pPr>
      <w:r>
        <w:rPr>
          <w:rFonts w:ascii="Arial" w:hAnsi="Arial" w:cs="Arial"/>
          <w:sz w:val="22"/>
          <w:szCs w:val="22"/>
        </w:rPr>
        <w:t xml:space="preserve">The Go Authors. (2024). </w:t>
      </w:r>
      <w:r>
        <w:rPr>
          <w:rFonts w:ascii="Arial" w:hAnsi="Arial" w:cs="Arial"/>
          <w:i/>
          <w:iCs/>
          <w:sz w:val="22"/>
          <w:szCs w:val="22"/>
        </w:rPr>
        <w:t xml:space="preserve">The Go Programming Language Specification</w:t>
      </w:r>
      <w:r>
        <w:rPr>
          <w:rFonts w:ascii="Arial" w:hAnsi="Arial" w:cs="Arial"/>
          <w:sz w:val="22"/>
          <w:szCs w:val="22"/>
        </w:rPr>
        <w:t xml:space="preserve">. Recuperado de https://go.dev/ref/spec</w:t>
      </w:r>
    </w:p>
    <w:p w:rsidR="00DD5923" w:rsidRDefault="00DD5923">
      <w:pPr>
        <w:spacing w:before="40" w:after="40"/>
        <w:ind w:left="720" w:hanging="720"/>
        <w:rPr>
          <w:rFonts w:ascii="Arial" w:hAnsi="Arial" w:cs="Arial"/>
          <w:sz w:val="22"/>
          <w:szCs w:val="22"/>
        </w:rPr>
      </w:pPr>
      <w:r>
        <w:rPr>
          <w:rFonts w:ascii="Arial" w:hAnsi="Arial" w:cs="Arial"/>
          <w:sz w:val="22"/>
          <w:szCs w:val="22"/>
        </w:rPr>
        <w:t xml:space="preserve">Microsoft. (2024). </w:t>
      </w:r>
      <w:r>
        <w:rPr>
          <w:rFonts w:ascii="Arial" w:hAnsi="Arial" w:cs="Arial"/>
          <w:i/>
          <w:iCs/>
          <w:sz w:val="22"/>
          <w:szCs w:val="22"/>
        </w:rPr>
        <w:t xml:space="preserve">C# Language Reference — .NET 8</w:t>
      </w:r>
      <w:r>
        <w:rPr>
          <w:rFonts w:ascii="Arial" w:hAnsi="Arial" w:cs="Arial"/>
          <w:sz w:val="22"/>
          <w:szCs w:val="22"/>
        </w:rPr>
        <w:t xml:space="preserve">. Recuperado de https://learn.microsoft.com/en-us/dotnet/csharp/</w:t>
      </w:r>
    </w:p>
    <w:sectPr w:rsidR="007C6540" w:rsidRPr="007C6540" w:rsidSect="007C6540">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C86E5" w14:textId="77777777" w:rsidR="0077028C" w:rsidRPr="007C6540" w:rsidRDefault="0077028C" w:rsidP="007C6540">
      <w:pPr>
        <w:spacing w:after="0" w:line="240" w:lineRule="auto"/>
      </w:pPr>
      <w:r w:rsidRPr="007C6540">
        <w:separator/>
      </w:r>
    </w:p>
  </w:endnote>
  <w:endnote w:type="continuationSeparator" w:id="0">
    <w:p w14:paraId="6CABC914" w14:textId="77777777" w:rsidR="0077028C" w:rsidRPr="007C6540" w:rsidRDefault="0077028C" w:rsidP="007C6540">
      <w:pPr>
        <w:spacing w:after="0" w:line="240" w:lineRule="auto"/>
      </w:pPr>
      <w:r w:rsidRPr="007C65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045C9" w14:textId="77777777" w:rsidR="0077028C" w:rsidRPr="007C6540" w:rsidRDefault="0077028C" w:rsidP="007C6540">
      <w:pPr>
        <w:spacing w:after="0" w:line="240" w:lineRule="auto"/>
      </w:pPr>
      <w:r w:rsidRPr="007C6540">
        <w:separator/>
      </w:r>
    </w:p>
  </w:footnote>
  <w:footnote w:type="continuationSeparator" w:id="0">
    <w:p w14:paraId="04AEA727" w14:textId="77777777" w:rsidR="0077028C" w:rsidRPr="007C6540" w:rsidRDefault="0077028C" w:rsidP="007C6540">
      <w:pPr>
        <w:spacing w:after="0" w:line="240" w:lineRule="auto"/>
      </w:pPr>
      <w:r w:rsidRPr="007C65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500F3" w14:textId="429B664B" w:rsidR="007C6540" w:rsidRPr="007C6540" w:rsidRDefault="007C6540" w:rsidP="007C6540">
    <w:pPr>
      <w:pStyle w:val="Header"/>
      <w:spacing w:line="360" w:lineRule="auto"/>
      <w:rPr>
        <w:rFonts w:ascii="Times New Roman" w:hAnsi="Times New Roman" w:cs="Times New Roman"/>
        <w:sz w:val="36"/>
        <w:szCs w:val="36"/>
      </w:rPr>
    </w:pPr>
    <w:r w:rsidRPr="007C6540">
      <w:rPr>
        <w:rFonts w:ascii="Times New Roman" w:hAnsi="Times New Roman" w:cs="Times New Roman"/>
        <w:color w:val="0E2841" w:themeColor="text2"/>
        <w:sz w:val="32"/>
        <w:szCs w:val="32"/>
      </w:rPr>
      <w:t>TEC</w:t>
    </w:r>
    <w:r w:rsidRPr="007C6540">
      <w:rPr>
        <w:rFonts w:ascii="Times New Roman" w:hAnsi="Times New Roman" w:cs="Times New Roman"/>
        <w:sz w:val="36"/>
        <w:szCs w:val="36"/>
      </w:rPr>
      <w:t xml:space="preserve"> </w:t>
    </w:r>
    <w:r w:rsidRPr="007C6540">
      <w:rPr>
        <w:rFonts w:ascii="Times New Roman" w:hAnsi="Times New Roman" w:cs="Times New Roman"/>
        <w:b/>
        <w:bCs/>
        <w:color w:val="A20000"/>
        <w:sz w:val="36"/>
        <w:szCs w:val="36"/>
      </w:rPr>
      <w:t>|</w:t>
    </w:r>
    <w:r w:rsidRPr="007C6540">
      <w:rPr>
        <w:rFonts w:ascii="Times New Roman" w:hAnsi="Times New Roman" w:cs="Times New Roman"/>
        <w:sz w:val="36"/>
        <w:szCs w:val="36"/>
      </w:rPr>
      <w:t xml:space="preserve"> </w:t>
    </w:r>
    <w:r w:rsidRPr="007C6540">
      <w:rPr>
        <w:rFonts w:ascii="Times New Roman" w:hAnsi="Times New Roman" w:cs="Times New Roman"/>
        <w:sz w:val="32"/>
        <w:szCs w:val="32"/>
      </w:rPr>
      <w:t>Tecnológico de Costa Rica</w:t>
    </w:r>
    <w:r w:rsidRPr="007C6540">
      <w:rPr>
        <w:rFonts w:ascii="Times New Roman" w:hAnsi="Times New Roman" w:cs="Times New Roman"/>
        <w:sz w:val="32"/>
        <w:szCs w:val="32"/>
      </w:rPr>
      <w:tab/>
    </w:r>
    <w:r w:rsidRPr="007C6540">
      <w:rPr>
        <w:rFonts w:ascii="Times New Roman" w:hAnsi="Times New Roman" w:cs="Times New Roman"/>
        <w:sz w:val="32"/>
        <w:szCs w:val="32"/>
      </w:rPr>
      <w:tab/>
    </w:r>
    <w:proofErr w:type="gramStart"/>
    <w:r w:rsidRPr="007C6540">
      <w:rPr>
        <w:rFonts w:ascii="Times New Roman" w:hAnsi="Times New Roman" w:cs="Times New Roman"/>
        <w:color w:val="747474" w:themeColor="background2" w:themeShade="80"/>
        <w:sz w:val="22"/>
        <w:szCs w:val="22"/>
      </w:rPr>
      <w:t>Junio</w:t>
    </w:r>
    <w:proofErr w:type="gramEnd"/>
    <w:r w:rsidRPr="007C6540">
      <w:rPr>
        <w:rFonts w:ascii="Times New Roman" w:hAnsi="Times New Roman" w:cs="Times New Roman"/>
        <w:color w:val="747474" w:themeColor="background2" w:themeShade="80"/>
        <w:sz w:val="22"/>
        <w:szCs w:val="22"/>
      </w:rPr>
      <w:t xml:space="preserve">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540"/>
    <w:rsid w:val="00022AB3"/>
    <w:rsid w:val="000C7D78"/>
    <w:rsid w:val="0077028C"/>
    <w:rsid w:val="007C6540"/>
    <w:rsid w:val="00D75A6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CA5B7"/>
  <w15:chartTrackingRefBased/>
  <w15:docId w15:val="{B7A166D6-0B4F-45D5-9CFA-83B184C8F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540"/>
    <w:rPr>
      <w:rFonts w:eastAsiaTheme="majorEastAsia" w:cstheme="majorBidi"/>
      <w:color w:val="272727" w:themeColor="text1" w:themeTint="D8"/>
    </w:rPr>
  </w:style>
  <w:style w:type="paragraph" w:styleId="Title">
    <w:name w:val="Title"/>
    <w:basedOn w:val="Normal"/>
    <w:next w:val="Normal"/>
    <w:link w:val="TitleChar"/>
    <w:uiPriority w:val="10"/>
    <w:qFormat/>
    <w:rsid w:val="007C6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540"/>
    <w:pPr>
      <w:spacing w:before="160"/>
      <w:jc w:val="center"/>
    </w:pPr>
    <w:rPr>
      <w:i/>
      <w:iCs/>
      <w:color w:val="404040" w:themeColor="text1" w:themeTint="BF"/>
    </w:rPr>
  </w:style>
  <w:style w:type="character" w:customStyle="1" w:styleId="QuoteChar">
    <w:name w:val="Quote Char"/>
    <w:basedOn w:val="DefaultParagraphFont"/>
    <w:link w:val="Quote"/>
    <w:uiPriority w:val="29"/>
    <w:rsid w:val="007C6540"/>
    <w:rPr>
      <w:i/>
      <w:iCs/>
      <w:color w:val="404040" w:themeColor="text1" w:themeTint="BF"/>
    </w:rPr>
  </w:style>
  <w:style w:type="paragraph" w:styleId="ListParagraph">
    <w:name w:val="List Paragraph"/>
    <w:basedOn w:val="Normal"/>
    <w:uiPriority w:val="34"/>
    <w:qFormat/>
    <w:rsid w:val="007C6540"/>
    <w:pPr>
      <w:ind w:left="720"/>
      <w:contextualSpacing/>
    </w:pPr>
  </w:style>
  <w:style w:type="character" w:styleId="IntenseEmphasis">
    <w:name w:val="Intense Emphasis"/>
    <w:basedOn w:val="DefaultParagraphFont"/>
    <w:uiPriority w:val="21"/>
    <w:qFormat/>
    <w:rsid w:val="007C6540"/>
    <w:rPr>
      <w:i/>
      <w:iCs/>
      <w:color w:val="0F4761" w:themeColor="accent1" w:themeShade="BF"/>
    </w:rPr>
  </w:style>
  <w:style w:type="paragraph" w:styleId="IntenseQuote">
    <w:name w:val="Intense Quote"/>
    <w:basedOn w:val="Normal"/>
    <w:next w:val="Normal"/>
    <w:link w:val="IntenseQuoteChar"/>
    <w:uiPriority w:val="30"/>
    <w:qFormat/>
    <w:rsid w:val="007C6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540"/>
    <w:rPr>
      <w:i/>
      <w:iCs/>
      <w:color w:val="0F4761" w:themeColor="accent1" w:themeShade="BF"/>
    </w:rPr>
  </w:style>
  <w:style w:type="character" w:styleId="IntenseReference">
    <w:name w:val="Intense Reference"/>
    <w:basedOn w:val="DefaultParagraphFont"/>
    <w:uiPriority w:val="32"/>
    <w:qFormat/>
    <w:rsid w:val="007C6540"/>
    <w:rPr>
      <w:b/>
      <w:bCs/>
      <w:smallCaps/>
      <w:color w:val="0F4761" w:themeColor="accent1" w:themeShade="BF"/>
      <w:spacing w:val="5"/>
    </w:rPr>
  </w:style>
  <w:style w:type="paragraph" w:styleId="Header">
    <w:name w:val="header"/>
    <w:basedOn w:val="Normal"/>
    <w:link w:val="HeaderChar"/>
    <w:uiPriority w:val="99"/>
    <w:unhideWhenUsed/>
    <w:rsid w:val="007C6540"/>
    <w:pPr>
      <w:tabs>
        <w:tab w:val="center" w:pos="4419"/>
        <w:tab w:val="right" w:pos="8838"/>
      </w:tabs>
      <w:spacing w:after="0" w:line="240" w:lineRule="auto"/>
    </w:pPr>
  </w:style>
  <w:style w:type="character" w:customStyle="1" w:styleId="HeaderChar">
    <w:name w:val="Header Char"/>
    <w:basedOn w:val="DefaultParagraphFont"/>
    <w:link w:val="Header"/>
    <w:uiPriority w:val="99"/>
    <w:rsid w:val="007C6540"/>
  </w:style>
  <w:style w:type="paragraph" w:styleId="Footer">
    <w:name w:val="footer"/>
    <w:basedOn w:val="Normal"/>
    <w:link w:val="FooterChar"/>
    <w:uiPriority w:val="99"/>
    <w:unhideWhenUsed/>
    <w:rsid w:val="007C6540"/>
    <w:pPr>
      <w:tabs>
        <w:tab w:val="center" w:pos="4419"/>
        <w:tab w:val="right" w:pos="8838"/>
      </w:tabs>
      <w:spacing w:after="0" w:line="240" w:lineRule="auto"/>
    </w:pPr>
  </w:style>
  <w:style w:type="character" w:customStyle="1" w:styleId="FooterChar">
    <w:name w:val="Footer Char"/>
    <w:basedOn w:val="DefaultParagraphFont"/>
    <w:link w:val="Footer"/>
    <w:uiPriority w:val="99"/>
    <w:rsid w:val="007C6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35</Words>
  <Characters>198</Characters>
  <Application>Microsoft Office Word</Application>
  <DocSecurity>0</DocSecurity>
  <Lines>1</Lines>
  <Paragraphs>1</Paragraphs>
  <ScaleCrop>false</ScaleCrop>
  <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Salas</dc:creator>
  <cp:keywords/>
  <dc:description/>
  <cp:lastModifiedBy>Joseph Salas</cp:lastModifiedBy>
  <cp:revision>1</cp:revision>
  <dcterms:created xsi:type="dcterms:W3CDTF">2026-06-08T22:44:00Z</dcterms:created>
  <dcterms:modified xsi:type="dcterms:W3CDTF">2026-06-08T22:54:00Z</dcterms:modified>
</cp:coreProperties>
</file>