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543" w:rsidRDefault="00AD1543" w:rsidP="00AD1543">
      <w:pPr>
        <w:pStyle w:val="berschrift1"/>
        <w:rPr>
          <w:lang w:val="de-DE"/>
        </w:rPr>
      </w:pPr>
      <w:r>
        <w:rPr>
          <w:lang w:val="de-DE"/>
        </w:rPr>
        <w:t>Test Settings</w:t>
      </w:r>
    </w:p>
    <w:p w:rsidR="00AD1543" w:rsidRDefault="00AD1543" w:rsidP="00AD1543">
      <w:pPr>
        <w:pStyle w:val="berschrift2"/>
        <w:rPr>
          <w:lang w:val="de-DE"/>
        </w:rPr>
      </w:pPr>
      <w:r>
        <w:rPr>
          <w:lang w:val="de-DE"/>
        </w:rPr>
        <w:t>ADF-Test</w:t>
      </w:r>
    </w:p>
    <w:p w:rsidR="00AD1543" w:rsidRPr="00CB6580" w:rsidRDefault="00AD1543" w:rsidP="00AD1543">
      <w:r>
        <w:rPr>
          <w:noProof/>
        </w:rPr>
        <w:drawing>
          <wp:anchor distT="0" distB="0" distL="114300" distR="114300" simplePos="0" relativeHeight="251659264" behindDoc="1" locked="0" layoutInCell="1" allowOverlap="1" wp14:anchorId="562DB0A7" wp14:editId="31DEC891">
            <wp:simplePos x="0" y="0"/>
            <wp:positionH relativeFrom="margin">
              <wp:align>left</wp:align>
            </wp:positionH>
            <wp:positionV relativeFrom="paragraph">
              <wp:posOffset>37465</wp:posOffset>
            </wp:positionV>
            <wp:extent cx="2627630" cy="1162050"/>
            <wp:effectExtent l="0" t="0" r="1270" b="0"/>
            <wp:wrapTight wrapText="bothSides">
              <wp:wrapPolygon edited="0">
                <wp:start x="0" y="0"/>
                <wp:lineTo x="0" y="21246"/>
                <wp:lineTo x="21454" y="21246"/>
                <wp:lineTo x="214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465" t="25246" r="63800" b="49792"/>
                    <a:stretch/>
                  </pic:blipFill>
                  <pic:spPr bwMode="auto">
                    <a:xfrm>
                      <a:off x="0" y="0"/>
                      <a:ext cx="2632486" cy="11641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CB6580" w:rsidRPr="00CB6580">
        <w:t>H0 :</w:t>
      </w:r>
      <w:proofErr w:type="gramEnd"/>
      <w:r w:rsidR="00CB6580" w:rsidRPr="00CB6580">
        <w:t xml:space="preserve"> nonstationary</w:t>
      </w:r>
      <w:r w:rsidR="00CB6580">
        <w:t>-unit root</w:t>
      </w:r>
      <w:r w:rsidR="00CB6580" w:rsidRPr="00CB6580">
        <w:t xml:space="preserve">; H1: stationary, i.e. </w:t>
      </w:r>
      <w:r w:rsidR="00CB6580">
        <w:t>no unit root</w:t>
      </w:r>
    </w:p>
    <w:p w:rsidR="00AD1543" w:rsidRPr="00CB6580" w:rsidRDefault="00CB6580" w:rsidP="00AD1543">
      <w:r>
        <w:t>Alpha set to 0.1</w:t>
      </w:r>
    </w:p>
    <w:p w:rsidR="00AD1543" w:rsidRDefault="00AD1543" w:rsidP="00AD1543"/>
    <w:p w:rsidR="00CB6580" w:rsidRPr="00CB6580" w:rsidRDefault="00CB6580" w:rsidP="00AD1543"/>
    <w:p w:rsidR="00AD1543" w:rsidRDefault="00AD1543" w:rsidP="00AD1543">
      <w:pPr>
        <w:pStyle w:val="berschrift2"/>
      </w:pPr>
      <w:r w:rsidRPr="00CB6580">
        <w:t>KPSS-Test</w:t>
      </w:r>
    </w:p>
    <w:p w:rsidR="00CB6580" w:rsidRDefault="00CB6580" w:rsidP="00CB6580">
      <w:r>
        <w:rPr>
          <w:noProof/>
        </w:rPr>
        <w:drawing>
          <wp:anchor distT="0" distB="0" distL="114300" distR="114300" simplePos="0" relativeHeight="251660288" behindDoc="1" locked="0" layoutInCell="1" allowOverlap="1">
            <wp:simplePos x="0" y="0"/>
            <wp:positionH relativeFrom="column">
              <wp:posOffset>-4445</wp:posOffset>
            </wp:positionH>
            <wp:positionV relativeFrom="paragraph">
              <wp:posOffset>-1905</wp:posOffset>
            </wp:positionV>
            <wp:extent cx="2386013" cy="1143000"/>
            <wp:effectExtent l="0" t="0" r="0" b="0"/>
            <wp:wrapTight wrapText="bothSides">
              <wp:wrapPolygon edited="0">
                <wp:start x="0" y="0"/>
                <wp:lineTo x="0" y="21240"/>
                <wp:lineTo x="21387" y="21240"/>
                <wp:lineTo x="2138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104" t="26381" r="68264" b="50926"/>
                    <a:stretch/>
                  </pic:blipFill>
                  <pic:spPr bwMode="auto">
                    <a:xfrm>
                      <a:off x="0" y="0"/>
                      <a:ext cx="2386013"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H0: trend stationary; H1: not trend stationary</w:t>
      </w:r>
    </w:p>
    <w:p w:rsidR="00CB6580" w:rsidRDefault="00CB6580" w:rsidP="00CB6580">
      <w:r>
        <w:t>Alpha set to 0.0999 as R prints all p-values above 0.1 as 0.1!</w:t>
      </w:r>
    </w:p>
    <w:p w:rsidR="00CB6580" w:rsidRPr="00CB6580" w:rsidRDefault="00CB6580" w:rsidP="00CB6580">
      <w:r>
        <w:t xml:space="preserve">Test, according to me, ‘more </w:t>
      </w:r>
      <w:proofErr w:type="gramStart"/>
      <w:r>
        <w:t>risky’  or</w:t>
      </w:r>
      <w:proofErr w:type="gramEnd"/>
      <w:r>
        <w:t xml:space="preserve"> only to be used in combination with ADF-test because we risk the beta-error of accepting H0 despite it might be wrong. In contrast to the Alpha-error, it is hard or impossible to retrieve the beta error (by testing)</w:t>
      </w:r>
    </w:p>
    <w:p w:rsidR="00BA4E07" w:rsidRPr="00CB6580" w:rsidRDefault="00403124" w:rsidP="00403124">
      <w:pPr>
        <w:pStyle w:val="berschrift1"/>
      </w:pPr>
      <w:r w:rsidRPr="00CB6580">
        <w:t>Stationarity Tests absolute variables</w:t>
      </w:r>
    </w:p>
    <w:p w:rsidR="00403124" w:rsidRPr="00CB6580" w:rsidRDefault="00403124" w:rsidP="00403124">
      <w:pPr>
        <w:pStyle w:val="berschrift2"/>
      </w:pPr>
      <w:r w:rsidRPr="00CB6580">
        <w:t>Common Factors</w:t>
      </w:r>
    </w:p>
    <w:p w:rsidR="00403124" w:rsidRPr="00403124" w:rsidRDefault="00403124" w:rsidP="00403124">
      <w:r w:rsidRPr="00403124">
        <w:t xml:space="preserve">Clearly, our common factor variables are not stationary given that we take them on their absolute level. </w:t>
      </w:r>
      <w:r>
        <w:t xml:space="preserve">A non-stationary transformation is required. </w:t>
      </w:r>
    </w:p>
    <w:p w:rsidR="00403124" w:rsidRDefault="004F7E8A" w:rsidP="00403124">
      <w:pPr>
        <w:rPr>
          <w:lang w:val="de-DE"/>
        </w:rPr>
      </w:pPr>
      <w:r w:rsidRPr="004F7E8A">
        <w:drawing>
          <wp:inline distT="0" distB="0" distL="0" distR="0">
            <wp:extent cx="1895475" cy="962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962025"/>
                    </a:xfrm>
                    <a:prstGeom prst="rect">
                      <a:avLst/>
                    </a:prstGeom>
                    <a:noFill/>
                    <a:ln>
                      <a:noFill/>
                    </a:ln>
                  </pic:spPr>
                </pic:pic>
              </a:graphicData>
            </a:graphic>
          </wp:inline>
        </w:drawing>
      </w:r>
      <w:r w:rsidRPr="004F7E8A">
        <w:drawing>
          <wp:inline distT="0" distB="0" distL="0" distR="0">
            <wp:extent cx="2371725" cy="962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962025"/>
                    </a:xfrm>
                    <a:prstGeom prst="rect">
                      <a:avLst/>
                    </a:prstGeom>
                    <a:noFill/>
                    <a:ln>
                      <a:noFill/>
                    </a:ln>
                  </pic:spPr>
                </pic:pic>
              </a:graphicData>
            </a:graphic>
          </wp:inline>
        </w:drawing>
      </w:r>
      <w:r w:rsidR="00242516">
        <w:rPr>
          <w:lang w:val="de-DE"/>
        </w:rPr>
        <w:t xml:space="preserve">   </w:t>
      </w:r>
    </w:p>
    <w:p w:rsidR="00242516" w:rsidRDefault="00242516" w:rsidP="00403124">
      <w:pPr>
        <w:rPr>
          <w:lang w:val="de-DE"/>
        </w:rPr>
      </w:pPr>
    </w:p>
    <w:p w:rsidR="00403124" w:rsidRDefault="00403124" w:rsidP="00403124">
      <w:pPr>
        <w:pStyle w:val="berschrift2"/>
        <w:rPr>
          <w:lang w:val="de-DE"/>
        </w:rPr>
      </w:pPr>
      <w:r>
        <w:rPr>
          <w:lang w:val="de-DE"/>
        </w:rPr>
        <w:t>Company-</w:t>
      </w:r>
      <w:proofErr w:type="spellStart"/>
      <w:r>
        <w:rPr>
          <w:lang w:val="de-DE"/>
        </w:rPr>
        <w:t>Specific</w:t>
      </w:r>
      <w:proofErr w:type="spellEnd"/>
      <w:r>
        <w:rPr>
          <w:lang w:val="de-DE"/>
        </w:rPr>
        <w:t xml:space="preserve"> </w:t>
      </w:r>
      <w:proofErr w:type="spellStart"/>
      <w:r>
        <w:rPr>
          <w:lang w:val="de-DE"/>
        </w:rPr>
        <w:t>Factors</w:t>
      </w:r>
      <w:proofErr w:type="spellEnd"/>
    </w:p>
    <w:p w:rsidR="00403124" w:rsidRDefault="00403124" w:rsidP="00403124">
      <w:pPr>
        <w:pStyle w:val="berschrift3"/>
        <w:rPr>
          <w:lang w:val="de-DE"/>
        </w:rPr>
      </w:pPr>
      <w:r>
        <w:rPr>
          <w:lang w:val="de-DE"/>
        </w:rPr>
        <w:t xml:space="preserve">ADF Test </w:t>
      </w:r>
      <w:proofErr w:type="spellStart"/>
      <w:r>
        <w:rPr>
          <w:lang w:val="de-DE"/>
        </w:rPr>
        <w:t>results</w:t>
      </w:r>
      <w:proofErr w:type="spellEnd"/>
    </w:p>
    <w:p w:rsidR="00403124" w:rsidRDefault="00403124" w:rsidP="00403124">
      <w:pPr>
        <w:rPr>
          <w:lang w:val="de-DE"/>
        </w:rPr>
      </w:pPr>
    </w:p>
    <w:p w:rsidR="004F7E8A" w:rsidRDefault="004F7E8A" w:rsidP="00403124">
      <w:pPr>
        <w:rPr>
          <w:lang w:val="de-DE"/>
        </w:rPr>
      </w:pPr>
      <w:r w:rsidRPr="004F7E8A">
        <w:drawing>
          <wp:inline distT="0" distB="0" distL="0" distR="0">
            <wp:extent cx="5972810" cy="1571820"/>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571820"/>
                    </a:xfrm>
                    <a:prstGeom prst="rect">
                      <a:avLst/>
                    </a:prstGeom>
                    <a:noFill/>
                    <a:ln>
                      <a:noFill/>
                    </a:ln>
                  </pic:spPr>
                </pic:pic>
              </a:graphicData>
            </a:graphic>
          </wp:inline>
        </w:drawing>
      </w:r>
    </w:p>
    <w:p w:rsidR="00403124" w:rsidRDefault="00403124" w:rsidP="00403124">
      <w:r w:rsidRPr="00403124">
        <w:lastRenderedPageBreak/>
        <w:t>Almost for all variables for all enterprises exh</w:t>
      </w:r>
      <w:r>
        <w:t>ibit a nonstationary behavior. WE cannot use them in this version for our analysis. Let’s see what the ADF test says</w:t>
      </w:r>
    </w:p>
    <w:p w:rsidR="00403124" w:rsidRDefault="00896AC0" w:rsidP="00403124">
      <w:pPr>
        <w:pStyle w:val="berschrift3"/>
      </w:pPr>
      <w:r>
        <w:t>KPSS Test result</w:t>
      </w:r>
    </w:p>
    <w:p w:rsidR="00896AC0" w:rsidRDefault="004F7E8A" w:rsidP="00896AC0">
      <w:r w:rsidRPr="004F7E8A">
        <w:drawing>
          <wp:inline distT="0" distB="0" distL="0" distR="0">
            <wp:extent cx="5972810" cy="1414910"/>
            <wp:effectExtent l="0" t="0" r="889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1414910"/>
                    </a:xfrm>
                    <a:prstGeom prst="rect">
                      <a:avLst/>
                    </a:prstGeom>
                    <a:noFill/>
                    <a:ln>
                      <a:noFill/>
                    </a:ln>
                  </pic:spPr>
                </pic:pic>
              </a:graphicData>
            </a:graphic>
          </wp:inline>
        </w:drawing>
      </w:r>
    </w:p>
    <w:p w:rsidR="00896AC0" w:rsidRDefault="00896AC0" w:rsidP="00896AC0">
      <w:r>
        <w:t xml:space="preserve">On a 10% level, the KPSS-Test also rejects the </w:t>
      </w:r>
      <w:proofErr w:type="gramStart"/>
      <w:r>
        <w:t>H(</w:t>
      </w:r>
      <w:proofErr w:type="gramEnd"/>
      <w:r>
        <w:t>NULL), that the variables are (trend-) stationary. A transformation is definitely required</w:t>
      </w:r>
    </w:p>
    <w:p w:rsidR="00896AC0" w:rsidRDefault="00B20AD5" w:rsidP="00B20AD5">
      <w:pPr>
        <w:pStyle w:val="berschrift2"/>
      </w:pPr>
      <w:r>
        <w:t>The Panel Unit Root Test – Levin, Lin, Chu (2002)</w:t>
      </w:r>
    </w:p>
    <w:p w:rsidR="00B20AD5" w:rsidRDefault="00B20AD5" w:rsidP="00B20AD5"/>
    <w:p w:rsidR="00B20AD5" w:rsidRDefault="00B20AD5" w:rsidP="00B20AD5">
      <w:r>
        <w:tab/>
        <w:t>Levin-Lin-Chu Unit-Root Test (ex. var.: Individual Intercepts and Trend)</w:t>
      </w:r>
    </w:p>
    <w:p w:rsidR="00B20AD5" w:rsidRDefault="00B20AD5" w:rsidP="00B20AD5">
      <w:proofErr w:type="gramStart"/>
      <w:r>
        <w:t>data</w:t>
      </w:r>
      <w:proofErr w:type="gramEnd"/>
      <w:r>
        <w:t>:  object</w:t>
      </w:r>
    </w:p>
    <w:p w:rsidR="00B20AD5" w:rsidRDefault="00B20AD5" w:rsidP="00B20AD5">
      <w:r>
        <w:t>z.x1 = 0.44616, p-value = 0.6555</w:t>
      </w:r>
    </w:p>
    <w:p w:rsidR="00B20AD5" w:rsidRDefault="00B20AD5" w:rsidP="00B20AD5">
      <w:proofErr w:type="gramStart"/>
      <w:r>
        <w:t>alternative</w:t>
      </w:r>
      <w:proofErr w:type="gramEnd"/>
      <w:r>
        <w:t xml:space="preserve"> hypothesis: stationarity</w:t>
      </w:r>
    </w:p>
    <w:p w:rsidR="00B20AD5" w:rsidRPr="00B20AD5" w:rsidRDefault="00B20AD5" w:rsidP="00B20AD5">
      <w:r>
        <w:t xml:space="preserve">This panel data test is in line with the findings of the </w:t>
      </w:r>
      <w:proofErr w:type="spellStart"/>
      <w:r>
        <w:t>indivicual</w:t>
      </w:r>
      <w:proofErr w:type="spellEnd"/>
      <w:r>
        <w:t xml:space="preserve"> variable tests! Yet this test cannot take cross-sectional dependence into account. </w:t>
      </w:r>
    </w:p>
    <w:p w:rsidR="00896AC0" w:rsidRDefault="00896AC0" w:rsidP="00896AC0">
      <w:pPr>
        <w:pStyle w:val="berschrift1"/>
      </w:pPr>
      <w:r>
        <w:t>Transformed variables</w:t>
      </w:r>
    </w:p>
    <w:p w:rsidR="00896AC0" w:rsidRDefault="00896AC0" w:rsidP="00896AC0">
      <w:pPr>
        <w:pStyle w:val="berschrift2"/>
      </w:pPr>
      <w:r>
        <w:t>Common Factors</w:t>
      </w:r>
    </w:p>
    <w:p w:rsidR="00896AC0" w:rsidRPr="00896AC0" w:rsidRDefault="004F7E8A" w:rsidP="004F7E8A">
      <w:pPr>
        <w:pStyle w:val="berschrift2"/>
      </w:pPr>
      <w:r w:rsidRPr="004F7E8A">
        <w:drawing>
          <wp:inline distT="0" distB="0" distL="0" distR="0">
            <wp:extent cx="2251710" cy="955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710" cy="955040"/>
                    </a:xfrm>
                    <a:prstGeom prst="rect">
                      <a:avLst/>
                    </a:prstGeom>
                    <a:noFill/>
                    <a:ln>
                      <a:noFill/>
                    </a:ln>
                  </pic:spPr>
                </pic:pic>
              </a:graphicData>
            </a:graphic>
          </wp:inline>
        </w:drawing>
      </w:r>
      <w:r w:rsidRPr="004F7E8A">
        <w:drawing>
          <wp:anchor distT="0" distB="0" distL="114300" distR="114300" simplePos="0" relativeHeight="251661312" behindDoc="0" locked="0" layoutInCell="1" allowOverlap="1">
            <wp:simplePos x="0" y="0"/>
            <wp:positionH relativeFrom="column">
              <wp:posOffset>957</wp:posOffset>
            </wp:positionH>
            <wp:positionV relativeFrom="paragraph">
              <wp:posOffset>4180</wp:posOffset>
            </wp:positionV>
            <wp:extent cx="1528445" cy="95504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8445" cy="955040"/>
                    </a:xfrm>
                    <a:prstGeom prst="rect">
                      <a:avLst/>
                    </a:prstGeom>
                    <a:noFill/>
                    <a:ln>
                      <a:noFill/>
                    </a:ln>
                  </pic:spPr>
                </pic:pic>
              </a:graphicData>
            </a:graphic>
          </wp:anchor>
        </w:drawing>
      </w:r>
    </w:p>
    <w:p w:rsidR="00896AC0" w:rsidRDefault="00896AC0" w:rsidP="00896AC0">
      <w:r>
        <w:t xml:space="preserve">According to these test results, we can be confident that our common factor variables, as they are transformed into quarterly returns, become stationary and thus adequate for a panel data analysis. </w:t>
      </w:r>
    </w:p>
    <w:p w:rsidR="00896AC0" w:rsidRDefault="00896AC0" w:rsidP="00896AC0"/>
    <w:p w:rsidR="00896AC0" w:rsidRDefault="00896AC0" w:rsidP="00896AC0">
      <w:pPr>
        <w:pStyle w:val="berschrift2"/>
      </w:pPr>
      <w:r>
        <w:lastRenderedPageBreak/>
        <w:t>Company-Specific Variables</w:t>
      </w:r>
    </w:p>
    <w:p w:rsidR="00896AC0" w:rsidRDefault="00896AC0" w:rsidP="00896AC0">
      <w:pPr>
        <w:pStyle w:val="berschrift3"/>
      </w:pPr>
      <w:r>
        <w:t>ADF-Test</w:t>
      </w:r>
    </w:p>
    <w:p w:rsidR="00896AC0" w:rsidRDefault="00821C86" w:rsidP="00896AC0">
      <w:r w:rsidRPr="004F7E8A">
        <w:drawing>
          <wp:inline distT="0" distB="0" distL="0" distR="0" wp14:anchorId="28892578" wp14:editId="306F368D">
            <wp:extent cx="5972810" cy="1887220"/>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1887220"/>
                    </a:xfrm>
                    <a:prstGeom prst="rect">
                      <a:avLst/>
                    </a:prstGeom>
                    <a:noFill/>
                    <a:ln>
                      <a:noFill/>
                    </a:ln>
                  </pic:spPr>
                </pic:pic>
              </a:graphicData>
            </a:graphic>
          </wp:inline>
        </w:drawing>
      </w:r>
    </w:p>
    <w:p w:rsidR="00896AC0" w:rsidRDefault="00896AC0" w:rsidP="00896AC0">
      <w:r>
        <w:t xml:space="preserve">Most company-specific variables end up being stationary. </w:t>
      </w:r>
    </w:p>
    <w:p w:rsidR="00896AC0" w:rsidRDefault="00896AC0" w:rsidP="00896AC0">
      <w:r>
        <w:t>Those Variables are stationary among all enterp</w:t>
      </w:r>
      <w:r w:rsidR="00BD143A">
        <w:t xml:space="preserve">rises: A / MCAP, </w:t>
      </w:r>
      <w:proofErr w:type="gramStart"/>
      <w:r w:rsidR="00BD143A">
        <w:t>BV(</w:t>
      </w:r>
      <w:proofErr w:type="gramEnd"/>
      <w:r w:rsidR="00BD143A">
        <w:t>EQ) / MCAP</w:t>
      </w:r>
    </w:p>
    <w:p w:rsidR="00BD143A" w:rsidRDefault="00BD143A" w:rsidP="00896AC0">
      <w:r>
        <w:t>This variable is stationary for all companies, but company 2: D/E</w:t>
      </w:r>
    </w:p>
    <w:p w:rsidR="00BD143A" w:rsidRDefault="00BD143A" w:rsidP="00896AC0">
      <w:r>
        <w:t>This variable might (according to the ADF-Test) still be problematic: Net Income. It is non-</w:t>
      </w:r>
      <w:proofErr w:type="spellStart"/>
      <w:r>
        <w:t>stationrary</w:t>
      </w:r>
      <w:proofErr w:type="spellEnd"/>
      <w:r>
        <w:t xml:space="preserve"> for companies: 2, 5, 6 and 7. </w:t>
      </w:r>
    </w:p>
    <w:p w:rsidR="00BD143A" w:rsidRDefault="00BD143A" w:rsidP="00896AC0">
      <w:r>
        <w:t xml:space="preserve">Note that these are the companies exhibiting the strongest net income drops into the loss zone between 2013 and 2015! If this triggered the </w:t>
      </w:r>
      <w:proofErr w:type="spellStart"/>
      <w:r>
        <w:t>nonstationarity</w:t>
      </w:r>
      <w:proofErr w:type="spellEnd"/>
      <w:r>
        <w:t>, then it might be that common panel data and time series approaches are not the adequate methods to analyze the consequences of the oil price drop of 2013-2015 on oil companies. This is a shame as the common methods are the ones we can handle. But let’s first wait for the results of the KPSS Tests of the return (first diff) transformations of the variables</w:t>
      </w:r>
    </w:p>
    <w:p w:rsidR="00BD143A" w:rsidRDefault="00821C86" w:rsidP="00821C86">
      <w:pPr>
        <w:pStyle w:val="berschrift3"/>
      </w:pPr>
      <w:r>
        <w:t>KPSS Test</w:t>
      </w:r>
    </w:p>
    <w:p w:rsidR="00821C86" w:rsidRPr="00821C86" w:rsidRDefault="00821C86" w:rsidP="00821C86">
      <w:r w:rsidRPr="00821C86">
        <w:drawing>
          <wp:inline distT="0" distB="0" distL="0" distR="0">
            <wp:extent cx="5972810" cy="1466997"/>
            <wp:effectExtent l="0" t="0" r="889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1466997"/>
                    </a:xfrm>
                    <a:prstGeom prst="rect">
                      <a:avLst/>
                    </a:prstGeom>
                    <a:noFill/>
                    <a:ln>
                      <a:noFill/>
                    </a:ln>
                  </pic:spPr>
                </pic:pic>
              </a:graphicData>
            </a:graphic>
          </wp:inline>
        </w:drawing>
      </w:r>
    </w:p>
    <w:p w:rsidR="00BD143A" w:rsidRDefault="00BD143A" w:rsidP="00896AC0">
      <w:r>
        <w:t>The KPSS test results indicate, for Alpha = 0</w:t>
      </w:r>
      <w:proofErr w:type="gramStart"/>
      <w:r>
        <w:t>,1</w:t>
      </w:r>
      <w:proofErr w:type="gramEnd"/>
      <w:r>
        <w:t xml:space="preserve">, that the Null of trend-stationarity for Net Income is </w:t>
      </w:r>
      <w:proofErr w:type="spellStart"/>
      <w:r>
        <w:t>rejectes</w:t>
      </w:r>
      <w:proofErr w:type="spellEnd"/>
      <w:r>
        <w:t xml:space="preserve"> for companies: 2, 5 and 7. </w:t>
      </w:r>
      <w:r w:rsidR="004876BE">
        <w:t xml:space="preserve">This implies that using the first difference of Net Income in our analysis might still be problematic. </w:t>
      </w:r>
    </w:p>
    <w:p w:rsidR="00B20AD5" w:rsidRDefault="00B20AD5" w:rsidP="00B20AD5">
      <w:pPr>
        <w:pStyle w:val="berschrift2"/>
      </w:pPr>
      <w:r>
        <w:t>The Panel Unit Root Test – Levin, Lin, Chu (2002)</w:t>
      </w:r>
    </w:p>
    <w:p w:rsidR="00B20AD5" w:rsidRDefault="00B20AD5" w:rsidP="00B20AD5">
      <w:r>
        <w:tab/>
        <w:t>Levin-Lin-Chu Unit-Root Test (ex. var.: Individual Intercepts and Trend)</w:t>
      </w:r>
    </w:p>
    <w:p w:rsidR="00B20AD5" w:rsidRPr="00B20AD5" w:rsidRDefault="00B20AD5" w:rsidP="00B20AD5">
      <w:pPr>
        <w:rPr>
          <w:lang w:val="pt-BR"/>
        </w:rPr>
      </w:pPr>
      <w:r w:rsidRPr="00B20AD5">
        <w:rPr>
          <w:lang w:val="pt-BR"/>
        </w:rPr>
        <w:t>data:  object</w:t>
      </w:r>
    </w:p>
    <w:p w:rsidR="00B20AD5" w:rsidRPr="00B20AD5" w:rsidRDefault="00B20AD5" w:rsidP="00B20AD5">
      <w:pPr>
        <w:rPr>
          <w:lang w:val="pt-BR"/>
        </w:rPr>
      </w:pPr>
      <w:r w:rsidRPr="00B20AD5">
        <w:rPr>
          <w:lang w:val="pt-BR"/>
        </w:rPr>
        <w:t>z.x1 = -65.074, p-value &lt; 2.2e-16</w:t>
      </w:r>
    </w:p>
    <w:p w:rsidR="00B20AD5" w:rsidRDefault="00B20AD5" w:rsidP="00B20AD5">
      <w:proofErr w:type="gramStart"/>
      <w:r>
        <w:lastRenderedPageBreak/>
        <w:t>alternative</w:t>
      </w:r>
      <w:proofErr w:type="gramEnd"/>
      <w:r>
        <w:t xml:space="preserve"> hypothesis: stationarity</w:t>
      </w:r>
    </w:p>
    <w:p w:rsidR="00B20AD5" w:rsidRPr="00B20AD5" w:rsidRDefault="00B20AD5" w:rsidP="00B20AD5">
      <w:r>
        <w:t>This test result implies that there is no unit root is present in the transformed data. Note that the test relies on the assumption that the time series are cross-</w:t>
      </w:r>
      <w:proofErr w:type="spellStart"/>
      <w:r>
        <w:t>sectionally</w:t>
      </w:r>
      <w:proofErr w:type="spellEnd"/>
      <w:r>
        <w:t xml:space="preserve"> independent. Still, it can serve as, as the </w:t>
      </w:r>
      <w:proofErr w:type="spellStart"/>
      <w:r>
        <w:t>punitroots</w:t>
      </w:r>
      <w:proofErr w:type="spellEnd"/>
      <w:r>
        <w:t xml:space="preserve"> package is not available for R3.2.4 anymore, as a hint at that our version is usable</w:t>
      </w:r>
    </w:p>
    <w:p w:rsidR="004876BE" w:rsidRDefault="004876BE" w:rsidP="004876BE">
      <w:pPr>
        <w:pStyle w:val="berschrift1"/>
      </w:pPr>
      <w:r>
        <w:t>Test results for the timeframe 1996 – 2012</w:t>
      </w:r>
    </w:p>
    <w:p w:rsidR="004876BE" w:rsidRDefault="004876BE" w:rsidP="004876BE">
      <w:r>
        <w:t>Since we suspected that the non-stationarity of Net Income is mainly driven by the exceptional drops at the end of the observation period, we restricted the evaluation period to1996 – 2012</w:t>
      </w:r>
    </w:p>
    <w:p w:rsidR="004876BE" w:rsidRDefault="004876BE" w:rsidP="004876BE">
      <w:pPr>
        <w:pStyle w:val="berschrift2"/>
      </w:pPr>
      <w:r>
        <w:t>Common Factors</w:t>
      </w:r>
    </w:p>
    <w:tbl>
      <w:tblPr>
        <w:tblStyle w:val="Tabellenraster"/>
        <w:tblW w:w="0" w:type="auto"/>
        <w:tblLook w:val="04A0" w:firstRow="1" w:lastRow="0" w:firstColumn="1" w:lastColumn="0" w:noHBand="0" w:noVBand="1"/>
      </w:tblPr>
      <w:tblGrid>
        <w:gridCol w:w="4698"/>
        <w:gridCol w:w="4698"/>
      </w:tblGrid>
      <w:tr w:rsidR="004876BE" w:rsidTr="004876BE">
        <w:tc>
          <w:tcPr>
            <w:tcW w:w="4698" w:type="dxa"/>
          </w:tcPr>
          <w:p w:rsidR="004876BE" w:rsidRDefault="004876BE" w:rsidP="004876BE">
            <w:r>
              <w:t>ADF</w:t>
            </w:r>
          </w:p>
        </w:tc>
        <w:tc>
          <w:tcPr>
            <w:tcW w:w="4698" w:type="dxa"/>
          </w:tcPr>
          <w:p w:rsidR="004876BE" w:rsidRDefault="004876BE" w:rsidP="004876BE">
            <w:r>
              <w:t>KPSS</w:t>
            </w:r>
          </w:p>
        </w:tc>
      </w:tr>
      <w:tr w:rsidR="004876BE" w:rsidTr="004876BE">
        <w:tc>
          <w:tcPr>
            <w:tcW w:w="4698" w:type="dxa"/>
          </w:tcPr>
          <w:p w:rsidR="004876BE" w:rsidRDefault="004876BE" w:rsidP="004876BE">
            <w:r w:rsidRPr="004876BE">
              <w:rPr>
                <w:noProof/>
              </w:rPr>
              <w:drawing>
                <wp:inline distT="0" distB="0" distL="0" distR="0" wp14:anchorId="1D9E02B6" wp14:editId="51DABB3C">
                  <wp:extent cx="1533525" cy="9620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962025"/>
                          </a:xfrm>
                          <a:prstGeom prst="rect">
                            <a:avLst/>
                          </a:prstGeom>
                          <a:noFill/>
                          <a:ln>
                            <a:noFill/>
                          </a:ln>
                        </pic:spPr>
                      </pic:pic>
                    </a:graphicData>
                  </a:graphic>
                </wp:inline>
              </w:drawing>
            </w:r>
          </w:p>
        </w:tc>
        <w:tc>
          <w:tcPr>
            <w:tcW w:w="4698" w:type="dxa"/>
          </w:tcPr>
          <w:p w:rsidR="004876BE" w:rsidRDefault="004876BE" w:rsidP="004876BE">
            <w:r w:rsidRPr="004876BE">
              <w:rPr>
                <w:noProof/>
              </w:rPr>
              <w:drawing>
                <wp:inline distT="0" distB="0" distL="0" distR="0" wp14:anchorId="42717240" wp14:editId="1538E595">
                  <wp:extent cx="2209800" cy="9620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962025"/>
                          </a:xfrm>
                          <a:prstGeom prst="rect">
                            <a:avLst/>
                          </a:prstGeom>
                          <a:noFill/>
                          <a:ln>
                            <a:noFill/>
                          </a:ln>
                        </pic:spPr>
                      </pic:pic>
                    </a:graphicData>
                  </a:graphic>
                </wp:inline>
              </w:drawing>
            </w:r>
          </w:p>
        </w:tc>
      </w:tr>
    </w:tbl>
    <w:p w:rsidR="004876BE" w:rsidRDefault="004876BE" w:rsidP="004876BE">
      <w:r>
        <w:t xml:space="preserve">Oil, Gas and Market still stationary according to both tests. EUR/USD non trend stationary according to KPSS. </w:t>
      </w:r>
    </w:p>
    <w:p w:rsidR="004876BE" w:rsidRDefault="00CB30E3" w:rsidP="004876BE">
      <w:r>
        <w:t xml:space="preserve">Yet, we are confident that all those variables are safe to be used in our panel data regressions. </w:t>
      </w:r>
    </w:p>
    <w:p w:rsidR="00CB30E3" w:rsidRDefault="00CB30E3" w:rsidP="00CB30E3">
      <w:pPr>
        <w:pStyle w:val="berschrift2"/>
      </w:pPr>
      <w:r>
        <w:t>Company-Specific Factors</w:t>
      </w:r>
    </w:p>
    <w:p w:rsidR="00CB30E3" w:rsidRPr="00CB30E3" w:rsidRDefault="00CB30E3" w:rsidP="00CB30E3">
      <w:pPr>
        <w:pStyle w:val="berschrift3"/>
      </w:pPr>
      <w:r>
        <w:t>ADF test</w:t>
      </w:r>
    </w:p>
    <w:p w:rsidR="00CB30E3" w:rsidRPr="00CB30E3" w:rsidRDefault="00821C86" w:rsidP="00CB30E3">
      <w:r w:rsidRPr="00821C86">
        <w:drawing>
          <wp:inline distT="0" distB="0" distL="0" distR="0">
            <wp:extent cx="5158740" cy="1910715"/>
            <wp:effectExtent l="0" t="0" r="381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740" cy="1910715"/>
                    </a:xfrm>
                    <a:prstGeom prst="rect">
                      <a:avLst/>
                    </a:prstGeom>
                    <a:noFill/>
                    <a:ln>
                      <a:noFill/>
                    </a:ln>
                  </pic:spPr>
                </pic:pic>
              </a:graphicData>
            </a:graphic>
          </wp:inline>
        </w:drawing>
      </w:r>
    </w:p>
    <w:p w:rsidR="00CB30E3" w:rsidRDefault="00CB30E3" w:rsidP="004876BE">
      <w:r>
        <w:t>When only considering the time frame 1996-2012, according to the ADF-test-criteria, all of our variables are safe to be used. This reinforces our findings from 3.1</w:t>
      </w:r>
    </w:p>
    <w:p w:rsidR="00CB30E3" w:rsidRDefault="00CB30E3" w:rsidP="00CB30E3">
      <w:pPr>
        <w:pStyle w:val="berschrift3"/>
      </w:pPr>
      <w:r>
        <w:lastRenderedPageBreak/>
        <w:t xml:space="preserve">KPSS test </w:t>
      </w:r>
      <w:r>
        <w:sym w:font="Wingdings" w:char="F0E0"/>
      </w:r>
      <w:r>
        <w:t xml:space="preserve"> </w:t>
      </w:r>
      <w:proofErr w:type="gramStart"/>
      <w:r>
        <w:t>Similar</w:t>
      </w:r>
      <w:proofErr w:type="gramEnd"/>
      <w:r>
        <w:t xml:space="preserve"> results</w:t>
      </w:r>
    </w:p>
    <w:p w:rsidR="004876BE" w:rsidRDefault="00821C86" w:rsidP="004876BE">
      <w:r w:rsidRPr="00821C86">
        <w:drawing>
          <wp:inline distT="0" distB="0" distL="0" distR="0">
            <wp:extent cx="5972810" cy="147216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1472165"/>
                    </a:xfrm>
                    <a:prstGeom prst="rect">
                      <a:avLst/>
                    </a:prstGeom>
                    <a:noFill/>
                    <a:ln>
                      <a:noFill/>
                    </a:ln>
                  </pic:spPr>
                </pic:pic>
              </a:graphicData>
            </a:graphic>
          </wp:inline>
        </w:drawing>
      </w:r>
      <w:bookmarkStart w:id="0" w:name="_GoBack"/>
      <w:bookmarkEnd w:id="0"/>
    </w:p>
    <w:p w:rsidR="00B20AD5" w:rsidRDefault="00B20AD5" w:rsidP="00B20AD5">
      <w:pPr>
        <w:pStyle w:val="berschrift2"/>
      </w:pPr>
      <w:r>
        <w:t>The Panel Unit Root Test – Levin, Lin, Chu (2002)</w:t>
      </w:r>
    </w:p>
    <w:p w:rsidR="00B20AD5" w:rsidRDefault="00B20AD5" w:rsidP="00B20AD5"/>
    <w:p w:rsidR="00B20AD5" w:rsidRDefault="00B20AD5" w:rsidP="00B20AD5">
      <w:r>
        <w:tab/>
        <w:t>Levin-Lin-Chu Unit-Root Test (ex. var.: Individual Intercepts and Trend)</w:t>
      </w:r>
    </w:p>
    <w:p w:rsidR="00B20AD5" w:rsidRDefault="00B20AD5" w:rsidP="00B20AD5"/>
    <w:p w:rsidR="00B20AD5" w:rsidRPr="00B20AD5" w:rsidRDefault="00B20AD5" w:rsidP="00B20AD5">
      <w:pPr>
        <w:rPr>
          <w:lang w:val="pt-BR"/>
        </w:rPr>
      </w:pPr>
      <w:r w:rsidRPr="00B20AD5">
        <w:rPr>
          <w:lang w:val="pt-BR"/>
        </w:rPr>
        <w:t>data:  object</w:t>
      </w:r>
    </w:p>
    <w:p w:rsidR="00B20AD5" w:rsidRPr="00B20AD5" w:rsidRDefault="00B20AD5" w:rsidP="00B20AD5">
      <w:pPr>
        <w:rPr>
          <w:lang w:val="pt-BR"/>
        </w:rPr>
      </w:pPr>
      <w:r w:rsidRPr="00B20AD5">
        <w:rPr>
          <w:lang w:val="pt-BR"/>
        </w:rPr>
        <w:t>z.x1 = -54.46, p-value &lt; 2.2e-16</w:t>
      </w:r>
    </w:p>
    <w:p w:rsidR="00B20AD5" w:rsidRDefault="00B20AD5" w:rsidP="00B20AD5">
      <w:proofErr w:type="gramStart"/>
      <w:r>
        <w:t>alternative</w:t>
      </w:r>
      <w:proofErr w:type="gramEnd"/>
      <w:r>
        <w:t xml:space="preserve"> hypothesis: stationarity</w:t>
      </w:r>
    </w:p>
    <w:p w:rsidR="00B20AD5" w:rsidRPr="00B20AD5" w:rsidRDefault="00B20AD5" w:rsidP="00B20AD5">
      <w:r>
        <w:t xml:space="preserve">This time, the test also indicates stationarity of the panel we use. </w:t>
      </w:r>
    </w:p>
    <w:sectPr w:rsidR="00B20AD5" w:rsidRPr="00B20AD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D0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24"/>
    <w:rsid w:val="001B7C4C"/>
    <w:rsid w:val="00242516"/>
    <w:rsid w:val="00403124"/>
    <w:rsid w:val="004876BE"/>
    <w:rsid w:val="004F7E8A"/>
    <w:rsid w:val="007C66F1"/>
    <w:rsid w:val="00821C86"/>
    <w:rsid w:val="00896AC0"/>
    <w:rsid w:val="00AD1543"/>
    <w:rsid w:val="00B20AD5"/>
    <w:rsid w:val="00B459B6"/>
    <w:rsid w:val="00BD143A"/>
    <w:rsid w:val="00CB30E3"/>
    <w:rsid w:val="00CB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782FB-5048-44EA-B8BC-604A7779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0312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312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0312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0312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0312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0312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0312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0312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312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312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0312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0312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0312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0312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0312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0312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0312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0312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96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7349">
      <w:bodyDiv w:val="1"/>
      <w:marLeft w:val="0"/>
      <w:marRight w:val="0"/>
      <w:marTop w:val="0"/>
      <w:marBottom w:val="0"/>
      <w:divBdr>
        <w:top w:val="none" w:sz="0" w:space="0" w:color="auto"/>
        <w:left w:val="none" w:sz="0" w:space="0" w:color="auto"/>
        <w:bottom w:val="none" w:sz="0" w:space="0" w:color="auto"/>
        <w:right w:val="none" w:sz="0" w:space="0" w:color="auto"/>
      </w:divBdr>
    </w:div>
    <w:div w:id="327908643">
      <w:bodyDiv w:val="1"/>
      <w:marLeft w:val="0"/>
      <w:marRight w:val="0"/>
      <w:marTop w:val="0"/>
      <w:marBottom w:val="0"/>
      <w:divBdr>
        <w:top w:val="none" w:sz="0" w:space="0" w:color="auto"/>
        <w:left w:val="none" w:sz="0" w:space="0" w:color="auto"/>
        <w:bottom w:val="none" w:sz="0" w:space="0" w:color="auto"/>
        <w:right w:val="none" w:sz="0" w:space="0" w:color="auto"/>
      </w:divBdr>
    </w:div>
    <w:div w:id="526219288">
      <w:bodyDiv w:val="1"/>
      <w:marLeft w:val="0"/>
      <w:marRight w:val="0"/>
      <w:marTop w:val="0"/>
      <w:marBottom w:val="0"/>
      <w:divBdr>
        <w:top w:val="none" w:sz="0" w:space="0" w:color="auto"/>
        <w:left w:val="none" w:sz="0" w:space="0" w:color="auto"/>
        <w:bottom w:val="none" w:sz="0" w:space="0" w:color="auto"/>
        <w:right w:val="none" w:sz="0" w:space="0" w:color="auto"/>
      </w:divBdr>
    </w:div>
    <w:div w:id="653491840">
      <w:bodyDiv w:val="1"/>
      <w:marLeft w:val="0"/>
      <w:marRight w:val="0"/>
      <w:marTop w:val="0"/>
      <w:marBottom w:val="0"/>
      <w:divBdr>
        <w:top w:val="none" w:sz="0" w:space="0" w:color="auto"/>
        <w:left w:val="none" w:sz="0" w:space="0" w:color="auto"/>
        <w:bottom w:val="none" w:sz="0" w:space="0" w:color="auto"/>
        <w:right w:val="none" w:sz="0" w:space="0" w:color="auto"/>
      </w:divBdr>
    </w:div>
    <w:div w:id="659965328">
      <w:bodyDiv w:val="1"/>
      <w:marLeft w:val="0"/>
      <w:marRight w:val="0"/>
      <w:marTop w:val="0"/>
      <w:marBottom w:val="0"/>
      <w:divBdr>
        <w:top w:val="none" w:sz="0" w:space="0" w:color="auto"/>
        <w:left w:val="none" w:sz="0" w:space="0" w:color="auto"/>
        <w:bottom w:val="none" w:sz="0" w:space="0" w:color="auto"/>
        <w:right w:val="none" w:sz="0" w:space="0" w:color="auto"/>
      </w:divBdr>
    </w:div>
    <w:div w:id="664629593">
      <w:bodyDiv w:val="1"/>
      <w:marLeft w:val="0"/>
      <w:marRight w:val="0"/>
      <w:marTop w:val="0"/>
      <w:marBottom w:val="0"/>
      <w:divBdr>
        <w:top w:val="none" w:sz="0" w:space="0" w:color="auto"/>
        <w:left w:val="none" w:sz="0" w:space="0" w:color="auto"/>
        <w:bottom w:val="none" w:sz="0" w:space="0" w:color="auto"/>
        <w:right w:val="none" w:sz="0" w:space="0" w:color="auto"/>
      </w:divBdr>
    </w:div>
    <w:div w:id="698050802">
      <w:bodyDiv w:val="1"/>
      <w:marLeft w:val="0"/>
      <w:marRight w:val="0"/>
      <w:marTop w:val="0"/>
      <w:marBottom w:val="0"/>
      <w:divBdr>
        <w:top w:val="none" w:sz="0" w:space="0" w:color="auto"/>
        <w:left w:val="none" w:sz="0" w:space="0" w:color="auto"/>
        <w:bottom w:val="none" w:sz="0" w:space="0" w:color="auto"/>
        <w:right w:val="none" w:sz="0" w:space="0" w:color="auto"/>
      </w:divBdr>
    </w:div>
    <w:div w:id="791242188">
      <w:bodyDiv w:val="1"/>
      <w:marLeft w:val="0"/>
      <w:marRight w:val="0"/>
      <w:marTop w:val="0"/>
      <w:marBottom w:val="0"/>
      <w:divBdr>
        <w:top w:val="none" w:sz="0" w:space="0" w:color="auto"/>
        <w:left w:val="none" w:sz="0" w:space="0" w:color="auto"/>
        <w:bottom w:val="none" w:sz="0" w:space="0" w:color="auto"/>
        <w:right w:val="none" w:sz="0" w:space="0" w:color="auto"/>
      </w:divBdr>
    </w:div>
    <w:div w:id="934552401">
      <w:bodyDiv w:val="1"/>
      <w:marLeft w:val="0"/>
      <w:marRight w:val="0"/>
      <w:marTop w:val="0"/>
      <w:marBottom w:val="0"/>
      <w:divBdr>
        <w:top w:val="none" w:sz="0" w:space="0" w:color="auto"/>
        <w:left w:val="none" w:sz="0" w:space="0" w:color="auto"/>
        <w:bottom w:val="none" w:sz="0" w:space="0" w:color="auto"/>
        <w:right w:val="none" w:sz="0" w:space="0" w:color="auto"/>
      </w:divBdr>
    </w:div>
    <w:div w:id="1011570083">
      <w:bodyDiv w:val="1"/>
      <w:marLeft w:val="0"/>
      <w:marRight w:val="0"/>
      <w:marTop w:val="0"/>
      <w:marBottom w:val="0"/>
      <w:divBdr>
        <w:top w:val="none" w:sz="0" w:space="0" w:color="auto"/>
        <w:left w:val="none" w:sz="0" w:space="0" w:color="auto"/>
        <w:bottom w:val="none" w:sz="0" w:space="0" w:color="auto"/>
        <w:right w:val="none" w:sz="0" w:space="0" w:color="auto"/>
      </w:divBdr>
    </w:div>
    <w:div w:id="1037200875">
      <w:bodyDiv w:val="1"/>
      <w:marLeft w:val="0"/>
      <w:marRight w:val="0"/>
      <w:marTop w:val="0"/>
      <w:marBottom w:val="0"/>
      <w:divBdr>
        <w:top w:val="none" w:sz="0" w:space="0" w:color="auto"/>
        <w:left w:val="none" w:sz="0" w:space="0" w:color="auto"/>
        <w:bottom w:val="none" w:sz="0" w:space="0" w:color="auto"/>
        <w:right w:val="none" w:sz="0" w:space="0" w:color="auto"/>
      </w:divBdr>
    </w:div>
    <w:div w:id="1087849311">
      <w:bodyDiv w:val="1"/>
      <w:marLeft w:val="0"/>
      <w:marRight w:val="0"/>
      <w:marTop w:val="0"/>
      <w:marBottom w:val="0"/>
      <w:divBdr>
        <w:top w:val="none" w:sz="0" w:space="0" w:color="auto"/>
        <w:left w:val="none" w:sz="0" w:space="0" w:color="auto"/>
        <w:bottom w:val="none" w:sz="0" w:space="0" w:color="auto"/>
        <w:right w:val="none" w:sz="0" w:space="0" w:color="auto"/>
      </w:divBdr>
    </w:div>
    <w:div w:id="1189947692">
      <w:bodyDiv w:val="1"/>
      <w:marLeft w:val="0"/>
      <w:marRight w:val="0"/>
      <w:marTop w:val="0"/>
      <w:marBottom w:val="0"/>
      <w:divBdr>
        <w:top w:val="none" w:sz="0" w:space="0" w:color="auto"/>
        <w:left w:val="none" w:sz="0" w:space="0" w:color="auto"/>
        <w:bottom w:val="none" w:sz="0" w:space="0" w:color="auto"/>
        <w:right w:val="none" w:sz="0" w:space="0" w:color="auto"/>
      </w:divBdr>
    </w:div>
    <w:div w:id="1205630801">
      <w:bodyDiv w:val="1"/>
      <w:marLeft w:val="0"/>
      <w:marRight w:val="0"/>
      <w:marTop w:val="0"/>
      <w:marBottom w:val="0"/>
      <w:divBdr>
        <w:top w:val="none" w:sz="0" w:space="0" w:color="auto"/>
        <w:left w:val="none" w:sz="0" w:space="0" w:color="auto"/>
        <w:bottom w:val="none" w:sz="0" w:space="0" w:color="auto"/>
        <w:right w:val="none" w:sz="0" w:space="0" w:color="auto"/>
      </w:divBdr>
    </w:div>
    <w:div w:id="1245337898">
      <w:bodyDiv w:val="1"/>
      <w:marLeft w:val="0"/>
      <w:marRight w:val="0"/>
      <w:marTop w:val="0"/>
      <w:marBottom w:val="0"/>
      <w:divBdr>
        <w:top w:val="none" w:sz="0" w:space="0" w:color="auto"/>
        <w:left w:val="none" w:sz="0" w:space="0" w:color="auto"/>
        <w:bottom w:val="none" w:sz="0" w:space="0" w:color="auto"/>
        <w:right w:val="none" w:sz="0" w:space="0" w:color="auto"/>
      </w:divBdr>
    </w:div>
    <w:div w:id="1434128312">
      <w:bodyDiv w:val="1"/>
      <w:marLeft w:val="0"/>
      <w:marRight w:val="0"/>
      <w:marTop w:val="0"/>
      <w:marBottom w:val="0"/>
      <w:divBdr>
        <w:top w:val="none" w:sz="0" w:space="0" w:color="auto"/>
        <w:left w:val="none" w:sz="0" w:space="0" w:color="auto"/>
        <w:bottom w:val="none" w:sz="0" w:space="0" w:color="auto"/>
        <w:right w:val="none" w:sz="0" w:space="0" w:color="auto"/>
      </w:divBdr>
    </w:div>
    <w:div w:id="1439714117">
      <w:bodyDiv w:val="1"/>
      <w:marLeft w:val="0"/>
      <w:marRight w:val="0"/>
      <w:marTop w:val="0"/>
      <w:marBottom w:val="0"/>
      <w:divBdr>
        <w:top w:val="none" w:sz="0" w:space="0" w:color="auto"/>
        <w:left w:val="none" w:sz="0" w:space="0" w:color="auto"/>
        <w:bottom w:val="none" w:sz="0" w:space="0" w:color="auto"/>
        <w:right w:val="none" w:sz="0" w:space="0" w:color="auto"/>
      </w:divBdr>
    </w:div>
    <w:div w:id="1452436900">
      <w:bodyDiv w:val="1"/>
      <w:marLeft w:val="0"/>
      <w:marRight w:val="0"/>
      <w:marTop w:val="0"/>
      <w:marBottom w:val="0"/>
      <w:divBdr>
        <w:top w:val="none" w:sz="0" w:space="0" w:color="auto"/>
        <w:left w:val="none" w:sz="0" w:space="0" w:color="auto"/>
        <w:bottom w:val="none" w:sz="0" w:space="0" w:color="auto"/>
        <w:right w:val="none" w:sz="0" w:space="0" w:color="auto"/>
      </w:divBdr>
    </w:div>
    <w:div w:id="1469204293">
      <w:bodyDiv w:val="1"/>
      <w:marLeft w:val="0"/>
      <w:marRight w:val="0"/>
      <w:marTop w:val="0"/>
      <w:marBottom w:val="0"/>
      <w:divBdr>
        <w:top w:val="none" w:sz="0" w:space="0" w:color="auto"/>
        <w:left w:val="none" w:sz="0" w:space="0" w:color="auto"/>
        <w:bottom w:val="none" w:sz="0" w:space="0" w:color="auto"/>
        <w:right w:val="none" w:sz="0" w:space="0" w:color="auto"/>
      </w:divBdr>
    </w:div>
    <w:div w:id="1633368397">
      <w:bodyDiv w:val="1"/>
      <w:marLeft w:val="0"/>
      <w:marRight w:val="0"/>
      <w:marTop w:val="0"/>
      <w:marBottom w:val="0"/>
      <w:divBdr>
        <w:top w:val="none" w:sz="0" w:space="0" w:color="auto"/>
        <w:left w:val="none" w:sz="0" w:space="0" w:color="auto"/>
        <w:bottom w:val="none" w:sz="0" w:space="0" w:color="auto"/>
        <w:right w:val="none" w:sz="0" w:space="0" w:color="auto"/>
      </w:divBdr>
    </w:div>
    <w:div w:id="1764522106">
      <w:bodyDiv w:val="1"/>
      <w:marLeft w:val="0"/>
      <w:marRight w:val="0"/>
      <w:marTop w:val="0"/>
      <w:marBottom w:val="0"/>
      <w:divBdr>
        <w:top w:val="none" w:sz="0" w:space="0" w:color="auto"/>
        <w:left w:val="none" w:sz="0" w:space="0" w:color="auto"/>
        <w:bottom w:val="none" w:sz="0" w:space="0" w:color="auto"/>
        <w:right w:val="none" w:sz="0" w:space="0" w:color="auto"/>
      </w:divBdr>
    </w:div>
    <w:div w:id="1849363748">
      <w:bodyDiv w:val="1"/>
      <w:marLeft w:val="0"/>
      <w:marRight w:val="0"/>
      <w:marTop w:val="0"/>
      <w:marBottom w:val="0"/>
      <w:divBdr>
        <w:top w:val="none" w:sz="0" w:space="0" w:color="auto"/>
        <w:left w:val="none" w:sz="0" w:space="0" w:color="auto"/>
        <w:bottom w:val="none" w:sz="0" w:space="0" w:color="auto"/>
        <w:right w:val="none" w:sz="0" w:space="0" w:color="auto"/>
      </w:divBdr>
    </w:div>
    <w:div w:id="1992324890">
      <w:bodyDiv w:val="1"/>
      <w:marLeft w:val="0"/>
      <w:marRight w:val="0"/>
      <w:marTop w:val="0"/>
      <w:marBottom w:val="0"/>
      <w:divBdr>
        <w:top w:val="none" w:sz="0" w:space="0" w:color="auto"/>
        <w:left w:val="none" w:sz="0" w:space="0" w:color="auto"/>
        <w:bottom w:val="none" w:sz="0" w:space="0" w:color="auto"/>
        <w:right w:val="none" w:sz="0" w:space="0" w:color="auto"/>
      </w:divBdr>
    </w:div>
    <w:div w:id="1996257736">
      <w:bodyDiv w:val="1"/>
      <w:marLeft w:val="0"/>
      <w:marRight w:val="0"/>
      <w:marTop w:val="0"/>
      <w:marBottom w:val="0"/>
      <w:divBdr>
        <w:top w:val="none" w:sz="0" w:space="0" w:color="auto"/>
        <w:left w:val="none" w:sz="0" w:space="0" w:color="auto"/>
        <w:bottom w:val="none" w:sz="0" w:space="0" w:color="auto"/>
        <w:right w:val="none" w:sz="0" w:space="0" w:color="auto"/>
      </w:divBdr>
    </w:div>
    <w:div w:id="213930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644</Words>
  <Characters>3672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Halbmann</dc:creator>
  <cp:keywords/>
  <dc:description/>
  <cp:lastModifiedBy>Tim Halbmann</cp:lastModifiedBy>
  <cp:revision>6</cp:revision>
  <dcterms:created xsi:type="dcterms:W3CDTF">2016-06-19T14:26:00Z</dcterms:created>
  <dcterms:modified xsi:type="dcterms:W3CDTF">2016-06-22T08:42:00Z</dcterms:modified>
</cp:coreProperties>
</file>