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Refactorización y modernización del portal de ventas de Health Green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30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3157890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_heading=h.gwbdx64sadne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_heading=h.jajcv8urhq56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_heading=h.ou4ln73w8yc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Introducción</w:t>
            <w:tab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gwbdx64sadn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960"/>
        <w:gridCol w:w="1845"/>
        <w:gridCol w:w="1845"/>
        <w:gridCol w:w="2985"/>
        <w:tblGridChange w:id="0">
          <w:tblGrid>
            <w:gridCol w:w="1305"/>
            <w:gridCol w:w="96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Kevin Montealegre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Green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numero 1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jajcv8urhq5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Refactorización y modernización del e-commerce de Health Green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Fabian Yesid Amaya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Grupo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de Pruebas de Software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Santiago Montealegre Sanchez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 Dayana Cordoba Maldonado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77">
      <w:pPr>
        <w:rPr>
          <w:vertAlign w:val="baseline"/>
        </w:rPr>
      </w:pPr>
      <w:bookmarkStart w:colFirst="0" w:colLast="0" w:name="_heading=h.ou4ln73w8y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vertAlign w:val="baseline"/>
        </w:rPr>
      </w:pPr>
      <w:bookmarkStart w:colFirst="0" w:colLast="0" w:name="_heading=h.g3wmuqd4m5d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presente manual tiene como objetivo guiar al lector en el uso de la página web, proporcionando instrucciones claras y detalladas sobre la navegación y las funciones disponibles.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Este documento está diseñado para dos perfiles principales: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final</w:t>
      </w:r>
      <w:r w:rsidDel="00000000" w:rsidR="00000000" w:rsidRPr="00000000">
        <w:rPr>
          <w:rtl w:val="0"/>
        </w:rPr>
        <w:t xml:space="preserve">: quien accede a la página para interactuar con sus contenidos, realizar consultas, operaciones o servicios disponibles.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responsable de la gestión, configuración y mantenimiento de la plataforma, con acceso a funciones avanzadas de control y supervisión.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lo largo del manual se presentarán: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Descripciones de la interfaz y sus componentes.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Procedimientos paso a paso para realizar las acciones más comunes.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Buenas prácticas de uso que garantizan una experiencia segura y eficiente.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Instrucciones específicas para la administración y gestión de la página.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propósito es asegurar que tanto usuarios como administradores puedan aprovechar al máximo las funcionalidades de la plataforma, reduciendo errores y optimizando el tiempo de interacción.</w:t>
      </w:r>
    </w:p>
    <w:p w:rsidR="00000000" w:rsidDel="00000000" w:rsidP="00000000" w:rsidRDefault="00000000" w:rsidRPr="00000000" w14:paraId="000000AB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Requisitos previos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Antes de utilizar la página web, es importante conocer las condiciones mínimas necesarias para garantizar una experiencia adecuada: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de navegadores</w:t>
      </w:r>
      <w:r w:rsidDel="00000000" w:rsidR="00000000" w:rsidRPr="00000000">
        <w:rPr>
          <w:rtl w:val="0"/>
        </w:rPr>
        <w:t xml:space="preserve">: La página está desplegada para funcionar en todos los navegadores modernos (Chrome, Firefox, Edge, Safari, entre otros). No se requiere instalación adicional.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a internet</w:t>
      </w:r>
      <w:r w:rsidDel="00000000" w:rsidR="00000000" w:rsidRPr="00000000">
        <w:rPr>
          <w:rtl w:val="0"/>
        </w:rPr>
        <w:t xml:space="preserve">: El sitio es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igero y accesible, por lo que no necesita una conexión de alta velocidad. Una conexión básica es suficiente para navegar y utilizar todas las funciones.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: La página no utiliza cookies para su funcionamiento, lo que simplifica la experiencia del usuario y evita configuraciones adicionales en el navegador.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responsivo</w:t>
      </w:r>
      <w:r w:rsidDel="00000000" w:rsidR="00000000" w:rsidRPr="00000000">
        <w:rPr>
          <w:rtl w:val="0"/>
        </w:rPr>
        <w:t xml:space="preserve">: La interfaz está diseñada para adaptarse automáticamente a diferentes dispositivos y tamaños de pantalla 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Acceso a la página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URL oficial:</w:t>
      </w:r>
      <w:r w:rsidDel="00000000" w:rsidR="00000000" w:rsidRPr="00000000">
        <w:rPr>
          <w:rtl w:val="0"/>
        </w:rPr>
        <w:t xml:space="preserve"> La página web está disponible en la dirección única proporcionada por la organización. Se recomienda siempre ingresar directamente a esta URL para garantizar seguridad y evitar sitios falsos.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beforeAutospacing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usuario: </w:t>
      </w:r>
      <w:r w:rsidDel="00000000" w:rsidR="00000000" w:rsidRPr="00000000">
        <w:rPr>
          <w:rtl w:val="0"/>
        </w:rPr>
        <w:t xml:space="preserve">El usuario podrá crear una cuenta proporcionando la información solicitada en el formulario de registro al cual se accederá mediante la barra superior al ingresar a la página donde se le mostrará una ventana para seleccionar el proceso deseado.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7353" cy="2209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353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68303" cy="27146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303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96853" cy="2590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853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44478" cy="274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478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login: </w:t>
      </w:r>
      <w:r w:rsidDel="00000000" w:rsidR="00000000" w:rsidRPr="00000000">
        <w:rPr>
          <w:rtl w:val="0"/>
        </w:rPr>
        <w:t xml:space="preserve">Se ingresará mediante la ventana anteriormente mostrada tras seleccionar la opción “iniciar sesión” donde se le mostrará el formulario de ingreso el cual requerirá el usuario y la contraseña registrados.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2679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2705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Estructura general</w:t>
      </w:r>
    </w:p>
    <w:p w:rsidR="00000000" w:rsidDel="00000000" w:rsidP="00000000" w:rsidRDefault="00000000" w:rsidRPr="00000000" w14:paraId="000000C4">
      <w:pP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Este apartado tiene como objetivo mostrar la funcionalidad de los diferentes elementos constantes en las diferentes pantallas para de esta manera facilitar la experiencia del usuario a la hora de navegar por la página web.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80" w:before="28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principales:</w:t>
      </w:r>
    </w:p>
    <w:p w:rsidR="00000000" w:rsidDel="00000000" w:rsidP="00000000" w:rsidRDefault="00000000" w:rsidRPr="00000000" w14:paraId="000000C6">
      <w:pP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311140" cy="31908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53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89710371"/>
        <w:tag w:val="goog_rdk_0"/>
      </w:sdtPr>
      <w:sdtContent>
        <w:tbl>
          <w:tblPr>
            <w:tblStyle w:val="Table4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7230"/>
            <w:tblGridChange w:id="0">
              <w:tblGrid>
                <w:gridCol w:w="1560"/>
                <w:gridCol w:w="72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Barra de búsqueda de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regresar a la página principal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ingresar a la pestaña de educación (documentos sobre: procesos comerciales, productos a la venta, membresias)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ingresar a la pestaña del catálogo(categorias, subcategorias y productos)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ingresar a la ventana del usuario(información personal, membresías y historial de compras)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ingresar al carrito personal(visualización de productos)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sección de productos destacados(productos más vendidos)</w:t>
                </w:r>
              </w:p>
            </w:tc>
          </w:tr>
        </w:tbl>
      </w:sdtContent>
    </w:sdt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80" w:before="28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tarjetas de productos:</w:t>
      </w:r>
    </w:p>
    <w:p w:rsidR="00000000" w:rsidDel="00000000" w:rsidP="00000000" w:rsidRDefault="00000000" w:rsidRPr="00000000" w14:paraId="000000D9">
      <w:pPr>
        <w:spacing w:after="280" w:before="280" w:lin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7325" cy="36671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-28798</wp:posOffset>
          </wp:positionH>
          <wp:positionV relativeFrom="paragraph">
            <wp:posOffset>-136797</wp:posOffset>
          </wp:positionV>
          <wp:extent cx="540000" cy="540000"/>
          <wp:effectExtent b="0" l="0" r="0" t="0"/>
          <wp:wrapNone/>
          <wp:docPr id="1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10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SSagjIDe/ZoXyGVLv23xnHXldw==">CgMxLjAaHwoBMBIaChgICVIUChJ0YWJsZS56ZHd1ajhiMnhsYTAyDmguZ3diZHg2NHNhZG5lMg5oLmphamN2OHVyaHE1NjINaC5vdTRsbjczdzh5YzIOaC5nM3dtdXFkNG01ZDQ4AHIhMWZxdGJXY1RaV0o0YTVReElpQUFUdHBZcmw2V2FDWXRV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2012-10-28T16:08:00Z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