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right"/>
        <w:rPr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Plan Gestión de Riesgos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right"/>
        <w:rPr>
          <w:color w:val="00b05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Refactorización y modernización del portal de ventas de Health Green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30/11/2025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color w:val="365f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280" w:before="280" w:line="240" w:lineRule="auto"/>
        <w:rPr>
          <w:rFonts w:ascii="Arial" w:cs="Arial" w:eastAsia="Arial" w:hAnsi="Arial"/>
          <w:b w:val="1"/>
          <w:bCs w:val="1"/>
          <w:color w:val="365f91"/>
          <w:sz w:val="32"/>
          <w:szCs w:val="32"/>
        </w:rPr>
      </w:pPr>
      <w:bookmarkStart w:colFirst="0" w:colLast="0" w:name="_ajmkma5bg26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Historial de Versiones</w:t>
      </w:r>
    </w:p>
    <w:tbl>
      <w:tblPr>
        <w:tblStyle w:val="Table1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960"/>
        <w:gridCol w:w="1845"/>
        <w:gridCol w:w="1845"/>
        <w:gridCol w:w="2985"/>
        <w:tblGridChange w:id="0">
          <w:tblGrid>
            <w:gridCol w:w="1305"/>
            <w:gridCol w:w="960"/>
            <w:gridCol w:w="1845"/>
            <w:gridCol w:w="1845"/>
            <w:gridCol w:w="29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Miguel Tunjano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Health Green world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versión numero 1 del documento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2"/>
        <w:spacing w:after="280" w:before="280" w:line="240" w:lineRule="auto"/>
        <w:rPr>
          <w:rFonts w:ascii="Arial" w:cs="Arial" w:eastAsia="Arial" w:hAnsi="Arial"/>
          <w:b w:val="1"/>
          <w:bCs w:val="1"/>
          <w:color w:val="365f91"/>
          <w:sz w:val="32"/>
          <w:szCs w:val="32"/>
        </w:rPr>
      </w:pPr>
      <w:bookmarkStart w:colFirst="0" w:colLast="0" w:name="_jajcv8urhq56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Información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Refactorización y modernización del e-commerce de Health Green World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Fecha de preparación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07/11/2025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HGW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Patrocinador principal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Gerente / Líder de 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 Yesid Amaya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técnico y funcional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Fabian Yesid Amaya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Nicol Dayana Cordoba Maldonado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Kevin Santiago Montealegre Sanchez</w:t>
            </w:r>
          </w:p>
          <w:p w:rsidR="00000000" w:rsidDel="00000000" w:rsidP="00000000" w:rsidRDefault="00000000" w:rsidRPr="00000000" w14:paraId="0000003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Miguel Angel Tunjano Correa</w:t>
            </w:r>
          </w:p>
        </w:tc>
      </w:tr>
    </w:tbl>
    <w:p w:rsidR="00000000" w:rsidDel="00000000" w:rsidP="00000000" w:rsidRDefault="00000000" w:rsidRPr="00000000" w14:paraId="00000039">
      <w:pPr>
        <w:spacing w:after="200" w:line="276" w:lineRule="auto"/>
        <w:rPr>
          <w:sz w:val="24"/>
          <w:szCs w:val="24"/>
        </w:rPr>
      </w:pPr>
      <w:bookmarkStart w:colFirst="0" w:colLast="0" w:name="_ou4ln73w8y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80" w:before="280" w:line="240" w:lineRule="auto"/>
        <w:rPr>
          <w:rFonts w:ascii="Arial" w:cs="Arial" w:eastAsia="Arial" w:hAnsi="Arial"/>
          <w:b w:val="1"/>
          <w:bCs w:val="1"/>
          <w:color w:val="365f91"/>
          <w:sz w:val="32"/>
          <w:szCs w:val="32"/>
        </w:rPr>
      </w:pPr>
      <w:bookmarkStart w:colFirst="0" w:colLast="0" w:name="_lxlvhy1eezk6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32"/>
          <w:szCs w:val="32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Heiver Cuesta</w:t>
            </w:r>
          </w:p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240" w:before="24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81jrmpbyi1u4" w:id="4"/>
      <w:bookmarkEnd w:id="4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1. Introducción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Este documento define el proceso de identificación, evaluación, mitigación y seguimiento de riesgos asociados a la refactorización del e-commerce HGW. El objetivo es anticipar y gestionar problemas que puedan afectar la calidad, la funcionalidad, el rendimiento y la estabilidad del sistema. La revisión de riesgos se realizará con periodicidad mensual o trimestral, según el ritmo de releases y la etapa del proyecto.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92e75fycmnyp" w:id="5"/>
      <w:bookmarkEnd w:id="5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2. Objetivos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Identificar riesgos que puedan impactar el proyecto.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Evaluar la probabilidad e impacto de cada riesgo.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Definir acciones de mitigación y planes de contingencia.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Asignar responsables para cada riesgo.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Mantener un control periódico (mensual/trimestral), sin revisiones semanales obligatorias.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bieids1ro2gb" w:id="6"/>
      <w:bookmarkEnd w:id="6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3. Metodología y criterios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Identificación: revisión conjunta entre QA y desarrollo; análisis de incidencias previas; detección de dependencias externas.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Evaluación: clasificación cualitativa por Probabilidad (Alta / Media / Baja) e Impacto (Alto / Medio / Bajo).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Priorización: se priorizan los riesgos con Probabilidad Alta y Impacto Alto/Medio.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 / Contingencia: para cada riesgo se define una acción preventiva y un plan alternativo.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Seguimiento: el registro de riesgos se actualizará mensualmente o trimestralmente según la fase del proyecto y se revisará en las reuniones de seguimiento acordadas.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i w:val="1"/>
          <w:iCs w:val="1"/>
        </w:rPr>
      </w:pPr>
      <w:bookmarkStart w:colFirst="0" w:colLast="0" w:name="_sry4aqktskee" w:id="7"/>
      <w:bookmarkEnd w:id="7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4.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Líder SQA / Tester funcional (Persona A): coordina SQA, valida requisitos, ejecuta pruebas funcionales y mantiene el registro de riesgos.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Tester Frontend + Automatización (Persona B): mantiene y ejecuta automatización UI con Selenium; valida aspectos visuales y flujos front.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Tester Backend + Automatización (Persona C): pruebas unitarias e integración con pytest; valida APIs y lógica de negocio.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Tester de Rendimiento / Soporte de entornos (Persona D): ejecuta pruebas de carga con JMeter; mantiene y valida estabilidad del staging.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mshjxe4jewhe" w:id="8"/>
      <w:bookmarkEnd w:id="8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5. Registro de riesgos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Cada riesgo se documenta con: ID, título, descripción, módulo afectado, probabilidad, impacto, prioridad, mitigación propuesta, plan de contingencia, responsable, estado y fecha de última actualización. El registro se mantendrá en la herramienta del proyecto (JIRA/Confluence o hoja compartida).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xpwefemgj08y" w:id="9"/>
      <w:bookmarkEnd w:id="9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6. Riesgos identificados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R1 — Regresiones por refactorización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Cambios en código refactorizado pueden romper funcionalidades previas (checkout, login, carrito, historial).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Alta / Alto.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Automatización básica de regresión (Selenium + pytest), revisiones de código, pruebas manuales en flujos críticos.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Rollback a versión estable; hotfix priorizado; pruebas intensivas en staging.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Líder SQA / Backend.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R2 — Degradación de rendimiento en momentos de tráfico alto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Consultas lentas o endpoints que no responden bajo carga.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Media-Alta / Alto.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Escenarios JMeter ejecutados en hitos clave (no semanal); análisis de cuellos de botella; caching y optimizaciones.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Aumento temporal de recursos, ajustes de configuración, desactivación de funciones no críticas.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Tester de rendimiento.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R3 — Pérdida o corrupción de datos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Migraciones o cambios en modelos provocan inconsistencias.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Alto.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Pruebas de migración sobre copia de datos en staging, scripts con rollback, backups previos, validaciones automáticas post-migración.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Restauración desde backup, ejecución de scripts de reparación.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Backend / DBA (o persona técnica asignada).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R4 — Fallos en integraciones externas (pagos, envíos)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Errores o cambios en APIs externas afectan procesos de pago/envío.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Alto.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Pruebas con sandbox y mocks, pruebas de contrato, manejo robusto de errores y retries.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Uso de métodos alternos cuando sea posible; comunicación a usuarios; reversión de transacciones.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Desarrollo / Líder SQA.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R5 — Vulnerabilidades de seguridad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Introducción de fallos de seguridad (XSS, SQLi, exposición de datos).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Alto.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Buenas prácticas en Flask (consultas parametrizadas), revisión mínima de seguridad en cada release importante, escaneo básico SAST/DAST si es posible.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Parche inmediato, verificación del alcance y comunicación interna.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Testers técnicos / Responsable técnico asignado.</w:t>
        <w:br w:type="textWrapping"/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R6 — Entorno de pruebas inestable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Staging con configuración o datos distintos a producción impide reproducibilidad.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Alta / Medio-Alto.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Alinear configuraciones entre staging y producción; mantener datasets representativos y anonimizados.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Uso de entorno temporal con configuración replicada; pruebas críticas contra copia controlada.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Soporte de entornos / Persona D.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R7 — Cobertura insuficiente de pruebas automatizadas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Falta de scripts automatizados para flujos críticos.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Medio.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Priorizar automatización de flujos de mayor riesgo; mantener base mínima de scripts para CI.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Pruebas manuales adicionales antes del release.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QA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R8 — Dependencias externas que retrasan entregas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Librerías, APIs o aprobaciones externas causan retrasos.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Medio.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Identificar dependencias críticas temprano; preparar alternativas técnicas.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Replanificación del alcance o fechas.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Equipo del proyecto.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R9 — Ausencia temporal de personal clave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Falta de disponibilidad de miembros críticos afecta plazos.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Baja-Media / Medio.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Documentación básica, cross-training y backups operativos.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Redistribución de tareas entre el equipo.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Líder SQA.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R10 — Errores en despliegues o CI/CD</w:t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Descripción: Fallos en pipelines o scripts de despliegue que bloquean releases.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Probabilidad / Impacto: Media / Medio-Alto.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Mitigación: Pruebas del pipeline en momentos clave, checklist de despliegue, despliegues canary/blue-green si es posible.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Contingencia: Rollback y ejecución del plan de restauración.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Responsable: Técnico asignado / Soporte de entornos.</w:t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d44l25w1bi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kqq5tji5bj0n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rz4044tenpu4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Open Sans" w:cs="Open Sans" w:eastAsia="Open Sans" w:hAnsi="Open Sans"/>
          <w:sz w:val="46"/>
          <w:szCs w:val="46"/>
        </w:rPr>
      </w:pPr>
      <w:bookmarkStart w:colFirst="0" w:colLast="0" w:name="_5g04fryht8w0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rPr/>
      </w:pPr>
      <w:bookmarkStart w:colFirst="0" w:colLast="0" w:name="_k8y6n7mb83jr" w:id="14"/>
      <w:bookmarkEnd w:id="14"/>
      <w:r w:rsidDel="00000000" w:rsidR="00000000" w:rsidRPr="00000000">
        <w:rPr>
          <w:rtl w:val="0"/>
        </w:rPr>
        <w:t xml:space="preserve">7. Matriz de priorización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705"/>
        <w:gridCol w:w="825"/>
        <w:gridCol w:w="705"/>
        <w:gridCol w:w="705"/>
        <w:gridCol w:w="690"/>
        <w:gridCol w:w="825"/>
        <w:gridCol w:w="825"/>
        <w:gridCol w:w="825"/>
        <w:gridCol w:w="825"/>
        <w:gridCol w:w="825"/>
        <w:tblGridChange w:id="0">
          <w:tblGrid>
            <w:gridCol w:w="1320"/>
            <w:gridCol w:w="705"/>
            <w:gridCol w:w="825"/>
            <w:gridCol w:w="705"/>
            <w:gridCol w:w="705"/>
            <w:gridCol w:w="690"/>
            <w:gridCol w:w="825"/>
            <w:gridCol w:w="825"/>
            <w:gridCol w:w="825"/>
            <w:gridCol w:w="825"/>
            <w:gridCol w:w="8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R10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Alta 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   </w:t>
            </w: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Prioridad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Prioridad Menor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pen Sans" w:cs="Open Sans" w:eastAsia="Open Sans" w:hAnsi="Open Sans"/>
                <w:sz w:val="36"/>
                <w:szCs w:val="36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36"/>
                <w:szCs w:val="3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427e6t4seuq0" w:id="15"/>
      <w:bookmarkEnd w:id="15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8. Plan de mitigación y controles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Automatizar regresión en módulos clave (checkout, login, carrito) con Selenium y pytest.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Ejecutar pruebas de carga JMeter en hitos estratégicos (antes de releases mayores).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Checklist de despliegue que incluya backup de BD, verificación de migraciones y smoke tests post-deploy.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Verificación mínima de seguridad antes de cada release importante.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Mantener staging lo más cercano posible a producción (configuración y datos anonimizados).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Revisiones de riesgos mensuales o trimestrales según fase del proyecto.</w:t>
        <w:br w:type="textWrapping"/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Métricas sugeridas: número de riesgos abiertos, número de riesgos críticos, tiempo medio de mitigación.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f1mp6bo6rspr" w:id="16"/>
      <w:bookmarkEnd w:id="16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9. Seguimiento y reporte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Periodicidad: Revisiones mensuales si el desarrollo está activo; trimestrales si el sistema está estable.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Registro: Actualizar el registro de riesgos en la herramienta del proyecto (JIRA, Confluence o hoja compartida).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Cierre: Un riesgo se cierra cuando la mitigación está verificada y se adjunta evidencia (tests, logs, cambios).</w:t>
        <w:br w:type="textWrapping"/>
      </w:r>
    </w:p>
    <w:p w:rsidR="00000000" w:rsidDel="00000000" w:rsidP="00000000" w:rsidRDefault="00000000" w:rsidRPr="00000000" w14:paraId="000000F7">
      <w:pPr>
        <w:spacing w:after="24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ind w:left="720" w:hanging="360"/>
        <w:rPr>
          <w:rFonts w:ascii="Open Sans" w:cs="Open Sans" w:eastAsia="Open Sans" w:hAnsi="Open Sans"/>
          <w:color w:val="000000"/>
          <w:sz w:val="26"/>
          <w:szCs w:val="26"/>
        </w:rPr>
      </w:pPr>
      <w:bookmarkStart w:colFirst="0" w:colLast="0" w:name="_e712rd68d8xx" w:id="17"/>
      <w:bookmarkEnd w:id="17"/>
      <w:r w:rsidDel="00000000" w:rsidR="00000000" w:rsidRPr="00000000">
        <w:rPr>
          <w:rFonts w:ascii="Open Sans" w:cs="Open Sans" w:eastAsia="Open Sans" w:hAnsi="Open Sans"/>
          <w:color w:val="000000"/>
          <w:sz w:val="26"/>
          <w:szCs w:val="26"/>
          <w:rtl w:val="0"/>
        </w:rPr>
        <w:t xml:space="preserve">10. Entregables</w:t>
      </w:r>
    </w:p>
    <w:p w:rsidR="00000000" w:rsidDel="00000000" w:rsidP="00000000" w:rsidRDefault="00000000" w:rsidRPr="00000000" w14:paraId="000000F9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Registro de riesgos actualizado.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Matriz de priorización (documento).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Evidencias de mitigación (logs, capturas, reportes JMeter).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Planes de contingencia para riesgos críticos.</w:t>
      </w:r>
    </w:p>
    <w:p w:rsidR="00000000" w:rsidDel="00000000" w:rsidP="00000000" w:rsidRDefault="00000000" w:rsidRPr="00000000" w14:paraId="000000FD">
      <w:pPr>
        <w:spacing w:after="240" w:before="240" w:lineRule="auto"/>
        <w:ind w:left="72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386kbzustbov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Referencias</w:t>
      </w:r>
    </w:p>
    <w:p w:rsidR="00000000" w:rsidDel="00000000" w:rsidP="00000000" w:rsidRDefault="00000000" w:rsidRPr="00000000" w14:paraId="00000100">
      <w:pPr>
        <w:spacing w:after="240" w:before="240" w:line="276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  <w:t xml:space="preserve">Miguel Tunjano</w:t>
      </w:r>
      <w:r w:rsidDel="00000000" w:rsidR="00000000" w:rsidRPr="00000000">
        <w:rPr>
          <w:rtl w:val="0"/>
        </w:rPr>
        <w:t xml:space="preserve">. (2025). </w:t>
      </w:r>
      <w:r w:rsidDel="00000000" w:rsidR="00000000" w:rsidRPr="00000000">
        <w:rPr>
          <w:i w:val="1"/>
          <w:iCs w:val="1"/>
          <w:rtl w:val="0"/>
        </w:rPr>
        <w:t xml:space="preserve">Plan de Gestión de Riesgos: Refactorización y modernización del portal de ventas de HGW</w:t>
      </w:r>
      <w:r w:rsidDel="00000000" w:rsidR="00000000" w:rsidRPr="00000000">
        <w:rPr>
          <w:rtl w:val="0"/>
        </w:rPr>
        <w:t xml:space="preserve">. Servicio Nacional de Aprendizaje – SENA.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tabs>
        <w:tab w:val="center" w:leader="none" w:pos="4419"/>
        <w:tab w:val="right" w:leader="none" w:pos="8838"/>
      </w:tabs>
      <w:spacing w:line="276" w:lineRule="auto"/>
      <w:jc w:val="right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HGW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-28798</wp:posOffset>
          </wp:positionH>
          <wp:positionV relativeFrom="paragraph">
            <wp:posOffset>-136797</wp:posOffset>
          </wp:positionV>
          <wp:extent cx="540000" cy="54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02">
    <w:pPr>
      <w:tabs>
        <w:tab w:val="center" w:leader="none" w:pos="4419"/>
        <w:tab w:val="right" w:leader="none" w:pos="8838"/>
      </w:tabs>
      <w:spacing w:line="276" w:lineRule="auto"/>
      <w:jc w:val="center"/>
      <w:rPr>
        <w:rFonts w:ascii="Calibri" w:cs="Calibri" w:eastAsia="Calibri" w:hAnsi="Calibri"/>
        <w:color w:val="365f91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6AA84F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19615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196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rFonts w:ascii="Open Sans" w:cs="Open Sans" w:eastAsia="Open Sans" w:hAnsi="Open Sans"/>
      <w:sz w:val="46"/>
      <w:szCs w:val="4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480" w:lineRule="auto"/>
    </w:pPr>
    <w:rPr>
      <w:rFonts w:ascii="Open Sans" w:cs="Open Sans" w:eastAsia="Open Sans" w:hAnsi="Open Sans"/>
      <w:sz w:val="46"/>
      <w:szCs w:val="4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