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Manual Tecnico</w:t>
      </w:r>
    </w:p>
    <w:p w:rsidR="00000000" w:rsidDel="00000000" w:rsidP="00000000" w:rsidRDefault="00000000" w:rsidRPr="00000000" w14:paraId="0000000B">
      <w:pPr>
        <w:spacing w:line="36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Refactorización y modernización del portal de ventas de Health Green World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36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right"/>
        <w:rPr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01/12/2025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360" w:lineRule="auto"/>
        <w:rPr>
          <w:rFonts w:ascii="Open Sans" w:cs="Open Sans" w:eastAsia="Open Sans" w:hAnsi="Open Sans"/>
        </w:rPr>
      </w:pPr>
      <w:bookmarkStart w:colFirst="0" w:colLast="0" w:name="_heading=h.o60ry0xh2tv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60" w:lineRule="auto"/>
        <w:rPr>
          <w:rFonts w:ascii="Open Sans" w:cs="Open Sans" w:eastAsia="Open Sans" w:hAnsi="Open Sans"/>
        </w:rPr>
      </w:pPr>
      <w:bookmarkStart w:colFirst="0" w:colLast="0" w:name="_heading=h.jll9pedg3r6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360" w:lineRule="auto"/>
        <w:rPr>
          <w:rFonts w:ascii="Open Sans" w:cs="Open Sans" w:eastAsia="Open Sans" w:hAnsi="Open Sans"/>
        </w:rPr>
      </w:pPr>
      <w:bookmarkStart w:colFirst="0" w:colLast="0" w:name="_heading=h.ta05eligbsn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360" w:lineRule="auto"/>
        <w:rPr>
          <w:rFonts w:ascii="Open Sans" w:cs="Open Sans" w:eastAsia="Open Sans" w:hAnsi="Open Sans"/>
        </w:rPr>
      </w:pPr>
      <w:bookmarkStart w:colFirst="0" w:colLast="0" w:name="_heading=h.nl6kslieu3g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360" w:lineRule="auto"/>
        <w:rPr>
          <w:rFonts w:ascii="Open Sans" w:cs="Open Sans" w:eastAsia="Open Sans" w:hAnsi="Open Sans"/>
        </w:rPr>
      </w:pPr>
      <w:bookmarkStart w:colFirst="0" w:colLast="0" w:name="_heading=h.xsezr4wtoen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="360" w:lineRule="auto"/>
        <w:rPr>
          <w:rFonts w:ascii="Open Sans" w:cs="Open Sans" w:eastAsia="Open Sans" w:hAnsi="Open Sans"/>
          <w:sz w:val="22"/>
          <w:szCs w:val="22"/>
        </w:rPr>
      </w:pPr>
      <w:bookmarkStart w:colFirst="0" w:colLast="0" w:name="_heading=h.c2x5p9hj97t4" w:id="5"/>
      <w:bookmarkEnd w:id="5"/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Tabla de Contenidos:</w:t>
      </w:r>
      <w:r w:rsidDel="00000000" w:rsidR="00000000" w:rsidRPr="00000000">
        <w:rPr>
          <w:rtl w:val="0"/>
        </w:rPr>
      </w:r>
    </w:p>
    <w:sdt>
      <w:sdtPr>
        <w:id w:val="11822850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underscor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c2x5p9hj97t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Contenidos: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2vlpdoxsjf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ajcv8urhq5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c15heqwzte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eo6842gb7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ANÁLISIS DE REQUERIMIENTOS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o26xaulx96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Requerimientos Funcionales (RF)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sx8549btt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Requerimientos No Funcionales (RNF)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ma5cmejv08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Arquitectura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il5cq5afhv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Diagramas Arquitectónicos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9mug9hlpsq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Diccionario de datos (Modelo de datos)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junwn6w7g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Estructura General de la Información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owxs6msa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Documentación Detallada de Tablas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cvzxle3p6d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Plan de instalación y Despliegue</w:t>
              <w:br w:type="textWrapping"/>
              <w:t xml:space="preserve">De acuerdo con el documento Manual de Instalación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43vgbcscmz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Requisitos Previos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62qfhk9im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 Procedimiento de Instalación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q85fk677vq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Estrategias de pruebas de calidad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yisyw2v9jy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Tipos de Pruebas Implementadas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23zp058bch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Estándares de Calidad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i4v2qp5hbq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Mantenimiento y seguridad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81pepws54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Plan de Respaldos (Backups)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77bs9uigfd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Plan de Restauración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fuh3sd0vj9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Gestión de Riesgos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awmpjb1fzu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Evidencias técnicas y control de versiones.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underscor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wjp4sh2ueg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Control de Versiones (Git)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cm42dgxtue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Operación del Sistema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a01iem5ogf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Pruebas y Validación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o49ofjomat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Roles y Responsabilidades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underscor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r1i0a9dtef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Cronograma de Revisión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280" w:before="280" w:line="240" w:lineRule="auto"/>
        <w:jc w:val="center"/>
        <w:rPr>
          <w:rFonts w:ascii="Open Sans" w:cs="Open Sans" w:eastAsia="Open Sans" w:hAnsi="Open Sans"/>
          <w:sz w:val="28"/>
          <w:szCs w:val="28"/>
        </w:rPr>
      </w:pPr>
      <w:bookmarkStart w:colFirst="0" w:colLast="0" w:name="_heading=h.9spzu4d4yd7g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280" w:before="280" w:line="240" w:lineRule="auto"/>
        <w:jc w:val="center"/>
        <w:rPr>
          <w:rFonts w:ascii="Open Sans" w:cs="Open Sans" w:eastAsia="Open Sans" w:hAnsi="Open Sans"/>
          <w:sz w:val="28"/>
          <w:szCs w:val="28"/>
        </w:rPr>
      </w:pPr>
      <w:bookmarkStart w:colFirst="0" w:colLast="0" w:name="_heading=h.t2vlpdoxsjfr" w:id="7"/>
      <w:bookmarkEnd w:id="7"/>
      <w:r w:rsidDel="00000000" w:rsidR="00000000" w:rsidRPr="00000000">
        <w:rPr>
          <w:rFonts w:ascii="Open Sans" w:cs="Open Sans" w:eastAsia="Open Sans" w:hAnsi="Open Sans"/>
          <w:sz w:val="28"/>
          <w:szCs w:val="28"/>
          <w:rtl w:val="0"/>
        </w:rPr>
        <w:t xml:space="preserve">Historial de Versiones</w:t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960"/>
        <w:gridCol w:w="1845"/>
        <w:gridCol w:w="1845"/>
        <w:gridCol w:w="2985"/>
        <w:tblGridChange w:id="0">
          <w:tblGrid>
            <w:gridCol w:w="1305"/>
            <w:gridCol w:w="960"/>
            <w:gridCol w:w="1845"/>
            <w:gridCol w:w="1845"/>
            <w:gridCol w:w="29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Autor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Organización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02/12/2025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Miguel Tunjano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Nicol Cordoba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Health Green world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versión número 1 del documento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09/12/2025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Nicol Cordoba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Health Green world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Revisión y complementación del documento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spacing w:after="280" w:before="280" w:line="240" w:lineRule="auto"/>
        <w:jc w:val="center"/>
        <w:rPr>
          <w:rFonts w:ascii="Open Sans" w:cs="Open Sans" w:eastAsia="Open Sans" w:hAnsi="Open Sans"/>
          <w:sz w:val="28"/>
          <w:szCs w:val="28"/>
        </w:rPr>
      </w:pPr>
      <w:bookmarkStart w:colFirst="0" w:colLast="0" w:name="_heading=h.jajcv8urhq56" w:id="8"/>
      <w:bookmarkEnd w:id="8"/>
      <w:r w:rsidDel="00000000" w:rsidR="00000000" w:rsidRPr="00000000">
        <w:rPr>
          <w:rFonts w:ascii="Open Sans" w:cs="Open Sans" w:eastAsia="Open Sans" w:hAnsi="Open Sans"/>
          <w:sz w:val="28"/>
          <w:szCs w:val="28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Refactorización y modernización del e-commerce de Health Green World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07/11/2025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HGW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Fabian Yesid Amaya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equipo técnico y 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Fabian Yesid Amaya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Nicol Dayana Cordoba Maldonado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Kevin Santiago Montealegre Sanchez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Miguel Angel Tunjano Correa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spacing w:after="240" w:before="0" w:line="360" w:lineRule="auto"/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="360" w:lineRule="auto"/>
        <w:rPr>
          <w:rFonts w:ascii="Open Sans" w:cs="Open Sans" w:eastAsia="Open Sans" w:hAnsi="Open Sans"/>
        </w:rPr>
      </w:pPr>
      <w:bookmarkStart w:colFirst="0" w:colLast="0" w:name="_heading=h.rc15heqwztei" w:id="9"/>
      <w:bookmarkEnd w:id="9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1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Este manual técnico describe la arquitectura, instalación, operación, mantenimiento y seguridad del sistema de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e‑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commerce de HGW. Su objetivo es servir como guía para administradores, desarrolladores y personal de soporte, asegurando la correcta implementación y continuidad del servicio.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="360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heading=h.1eo6842gb7tz" w:id="10"/>
      <w:bookmarkEnd w:id="10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2. ANÁLISIS DE REQUERIMIENTOS DEL SISTEMA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El levantamiento de requerimientos se ha realizado siguiendo el estándar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IEEE 830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identificando las necesidades funcionales y no funcionales críticas para la operación de la plataforma de comercio electrónico y gestión multinivel de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Health Green World (HGW)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360" w:lineRule="auto"/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</w:rPr>
      </w:pPr>
      <w:bookmarkStart w:colFirst="0" w:colLast="0" w:name="_heading=h.mo26xaulx963" w:id="11"/>
      <w:bookmarkEnd w:id="11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  <w:rtl w:val="0"/>
        </w:rPr>
        <w:t xml:space="preserve">2.1 Requerimientos Funcionales (RF)</w:t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Describen los comportamientos y funciones específicas que el sistema debe cumplir para soportar la operación del negocio. </w:t>
      </w:r>
      <w:hyperlink w:anchor="_heading=h.1eo6842gb7tz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Análisis de Requerimientos detallado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2415"/>
        <w:gridCol w:w="5550"/>
        <w:tblGridChange w:id="0">
          <w:tblGrid>
            <w:gridCol w:w="825"/>
            <w:gridCol w:w="2415"/>
            <w:gridCol w:w="55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 del 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Gestión de Acceso y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debe permitir el registro de nuevos usuarios, inicio de sesión seguro (autenticación) y recuperación de contraseñas mediante correo electrónico. Debe validar roles (Admin/Cliente).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Gestión de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debe permitir a los administradores crear, editar, eliminar y visualizar productos, incluyendo gestión de imágenes, precios, stock y categorización.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Carrito de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debe permitir a los usuarios agregar productos a un carrito temporal, calcular subtotales, aplicar costos de envío y gestionar la persistencia de la selección durante la sesión.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Procesamiento de Órdenes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debe generar una orden de compra final, descontar el stock del inventario y cambiar el estado de la transacción una vez confirmado el pago.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Sistema de Referidos (MLM)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debe vincular usuarios nuevos con sus patrocinadores mediante códigos únicos, almacenando la estructura genealógica para el cálculo de comisiones.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Cálculo de Bonificaciones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debe calcular automáticamente los puntos (BV) y bonos monetarios según las reglas del plan de compensación (Bono de inicio rápido, Bono de recompra, etc.) y asignarlos a la billetera del usuario.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Gestión de Billetera y Retiros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debe permitir a los usuarios visualizar su saldo acumulado y solicitar retiros a cuentas bancarias, generando un ticket de solicitud para aprobación administrativa.</w:t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360" w:lineRule="auto"/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</w:rPr>
      </w:pPr>
      <w:bookmarkStart w:colFirst="0" w:colLast="0" w:name="_heading=h.msx8549btti" w:id="12"/>
      <w:bookmarkEnd w:id="12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  <w:rtl w:val="0"/>
        </w:rPr>
        <w:t xml:space="preserve">2.2 Requerimientos No Funcionales (RNF)</w:t>
      </w:r>
    </w:p>
    <w:p w:rsidR="00000000" w:rsidDel="00000000" w:rsidP="00000000" w:rsidRDefault="00000000" w:rsidRPr="00000000" w14:paraId="00000081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Definen los criterios de calidad y restricciones técnicas bajo las cuales debe operar el sistema.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RNF-01 Seguridad de Datos: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Todas las contraseñas de usuario deben almacenarse encriptadas utilizando algoritmos de hash (ej. Bcrypt). La comunicación debe realizarse sobre protocolo seguro HTTPS.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RNF-02 Escalabilidad: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La arquitectura debe soportar un crecimiento vertical en la base de datos para manejar un aumento progresivo en el histórico de transacciones y usuarios sin degradar el rendimiento.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RNF-03 Disponibilidad: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El sistema debe estar disponible un 99.9% del tiempo (24/7), con ventanas de mantenimiento programadas en horarios de bajo tráfico.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RNF-04 Interfaz de Usuario (Usabilidad):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El diseño debe ser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Responsive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(adaptable), garantizando una visualización correcta en dispositivos móviles (Smartphones/Tablets) y computadoras de escritorio.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RNF-05 Rendimiento: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Las consultas a la base de datos, especialmente aquellas relacionadas con el cálculo de genealogía y bonos, no deben exceder los 3 segundos de tiempo de respuesta bajo carga normal.</w:t>
      </w:r>
    </w:p>
    <w:p w:rsidR="00000000" w:rsidDel="00000000" w:rsidP="00000000" w:rsidRDefault="00000000" w:rsidRPr="00000000" w14:paraId="00000087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="360" w:lineRule="auto"/>
        <w:rPr>
          <w:rFonts w:ascii="Open Sans" w:cs="Open Sans" w:eastAsia="Open Sans" w:hAnsi="Open Sans"/>
        </w:rPr>
      </w:pPr>
      <w:bookmarkStart w:colFirst="0" w:colLast="0" w:name="_heading=h.jma5cmejv08j" w:id="13"/>
      <w:bookmarkEnd w:id="13"/>
      <w:r w:rsidDel="00000000" w:rsidR="00000000" w:rsidRPr="00000000">
        <w:rPr>
          <w:rFonts w:ascii="Open Sans" w:cs="Open Sans" w:eastAsia="Open Sans" w:hAnsi="Open Sans"/>
          <w:rtl w:val="0"/>
        </w:rPr>
        <w:t xml:space="preserve">3. Arquitectura del Sistema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Frontend: React.js, interfaz multilingüe, accesible desde navegadores modernos.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Backend: Flask, APIs REST para gestión de usuarios, productos y transacciones.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Base de datos: MySQL Worckbench, con autenticación y cifrado de datos sensibles.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Infraestructura: Servidores en la nube (AWS/Azure), escalables y redundantes.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Módulos principales: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spacing w:after="0" w:before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Gestión de usuarios.</w:t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spacing w:after="0" w:before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Gestión de catálogo y stock.</w:t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spacing w:after="0" w:before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Carrito de compras y pagos.</w:t>
      </w:r>
    </w:p>
    <w:p w:rsidR="00000000" w:rsidDel="00000000" w:rsidP="00000000" w:rsidRDefault="00000000" w:rsidRPr="00000000" w14:paraId="00000091">
      <w:pPr>
        <w:numPr>
          <w:ilvl w:val="1"/>
          <w:numId w:val="9"/>
        </w:numPr>
        <w:spacing w:after="0" w:before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Sistema de alertas y membresías.</w:t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spacing w:after="240" w:before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Bonos y afiliados.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360" w:lineRule="auto"/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</w:rPr>
      </w:pPr>
      <w:bookmarkStart w:colFirst="0" w:colLast="0" w:name="_heading=h.iil5cq5afhvo" w:id="14"/>
      <w:bookmarkEnd w:id="14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6"/>
          <w:szCs w:val="26"/>
          <w:rtl w:val="0"/>
        </w:rPr>
        <w:t xml:space="preserve">3.1 Diagramas Arquitectónicos</w:t>
      </w:r>
    </w:p>
    <w:p w:rsidR="00000000" w:rsidDel="00000000" w:rsidP="00000000" w:rsidRDefault="00000000" w:rsidRPr="00000000" w14:paraId="00000094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Esta sección documenta la estructura visual del sistema.</w:t>
      </w:r>
    </w:p>
    <w:p w:rsidR="00000000" w:rsidDel="00000000" w:rsidP="00000000" w:rsidRDefault="00000000" w:rsidRPr="00000000" w14:paraId="00000095">
      <w:pPr>
        <w:spacing w:after="240" w:before="240" w:line="360" w:lineRule="auto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DIAGRAMA DE DESPLIEGUE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: Muestra la arquitectura cliente-servidor, con el navegador interactuando con el servidor de aplicaciones y este a su vez con la base de datos.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357188</wp:posOffset>
            </wp:positionH>
            <wp:positionV relativeFrom="paragraph">
              <wp:posOffset>695216</wp:posOffset>
            </wp:positionV>
            <wp:extent cx="4872038" cy="3107745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107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spacing w:after="240" w:before="240" w:line="360" w:lineRule="auto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360" w:lineRule="auto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360" w:lineRule="auto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360" w:lineRule="auto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360" w:lineRule="auto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0" w:line="36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0" w:line="360" w:lineRule="auto"/>
        <w:ind w:left="0" w:firstLine="0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DIAGRAMA DE CLASES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: Representación UML de las clases principales (Usuario, Producto, Venta) y sus relaciones. </w:t>
      </w:r>
      <w:hyperlink r:id="rId8">
        <w:r w:rsidDel="00000000" w:rsidR="00000000" w:rsidRPr="00000000">
          <w:rPr>
            <w:rFonts w:ascii="Open Sans" w:cs="Open Sans" w:eastAsia="Open Sans" w:hAnsi="Open Sans"/>
            <w:i w:val="1"/>
            <w:iCs w:val="1"/>
            <w:color w:val="1155cc"/>
            <w:u w:val="single"/>
            <w:rtl w:val="0"/>
          </w:rPr>
          <w:t xml:space="preserve">mejor vista</w:t>
        </w:r>
      </w:hyperlink>
      <w:r w:rsidDel="00000000" w:rsidR="00000000" w:rsidRPr="00000000">
        <w:rPr>
          <w:rFonts w:ascii="Open Sans" w:cs="Open Sans" w:eastAsia="Open Sans" w:hAnsi="Open Sans"/>
          <w:i w:val="1"/>
          <w:iCs w:val="1"/>
        </w:rPr>
        <w:drawing>
          <wp:inline distB="114300" distT="114300" distL="114300" distR="114300">
            <wp:extent cx="5731200" cy="76200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0" w:line="360" w:lineRule="auto"/>
        <w:ind w:left="0" w:firstLine="0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="360" w:lineRule="auto"/>
        <w:rPr>
          <w:rFonts w:ascii="Open Sans" w:cs="Open Sans" w:eastAsia="Open Sans" w:hAnsi="Open Sans"/>
        </w:rPr>
      </w:pPr>
      <w:bookmarkStart w:colFirst="0" w:colLast="0" w:name="_heading=h.w9mug9hlpsqf" w:id="15"/>
      <w:bookmarkEnd w:id="15"/>
      <w:r w:rsidDel="00000000" w:rsidR="00000000" w:rsidRPr="00000000">
        <w:rPr>
          <w:rFonts w:ascii="Open Sans" w:cs="Open Sans" w:eastAsia="Open Sans" w:hAnsi="Open Sans"/>
          <w:rtl w:val="0"/>
        </w:rPr>
        <w:t xml:space="preserve">4. Diccionario de datos (Modelo de datos)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 continuación, se detalla la estructura física de la base de datos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HGW_database</w:t>
      </w:r>
      <w:r w:rsidDel="00000000" w:rsidR="00000000" w:rsidRPr="00000000">
        <w:rPr>
          <w:rtl w:val="0"/>
        </w:rPr>
        <w:t xml:space="preserve">, implementada sobre el motor </w:t>
      </w:r>
      <w:r w:rsidDel="00000000" w:rsidR="00000000" w:rsidRPr="00000000">
        <w:rPr>
          <w:b w:val="1"/>
          <w:bCs w:val="1"/>
          <w:rtl w:val="0"/>
        </w:rPr>
        <w:t xml:space="preserve">InnoDB</w:t>
      </w:r>
      <w:r w:rsidDel="00000000" w:rsidR="00000000" w:rsidRPr="00000000">
        <w:rPr>
          <w:rtl w:val="0"/>
        </w:rPr>
        <w:t xml:space="preserve"> con codificación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utf8mb4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5junwn6w7g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Estructura General de la Información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 datos se encuentra normalizado y se divide lógicamente en cuatro grandes módulos funcionales que interactúan entre sí: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Identidad y Acceso (IAM):</w:t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Gestiona la seguridad y jerarquía de los actores del sistema mediante las tablas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membresias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Incluye la gestión de datos demográficos y logísticos a través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direcciones</w:t>
      </w:r>
      <w:r w:rsidDel="00000000" w:rsidR="00000000" w:rsidRPr="00000000">
        <w:rPr>
          <w:rtl w:val="0"/>
        </w:rPr>
        <w:t xml:space="preserve"> y la estructura recursiva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ubicaciones</w:t>
      </w:r>
      <w:r w:rsidDel="00000000" w:rsidR="00000000" w:rsidRPr="00000000">
        <w:rPr>
          <w:rtl w:val="0"/>
        </w:rPr>
        <w:t xml:space="preserve"> (País/Ciudad).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Comercial y Catálogo:</w:t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Centraliza el inventario de artículos disponibles mediante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, organizados jerárquicamente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 la administración de precios, stock e imágenes asociadas a cada ítem.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Transaccional (E-commerce):</w:t>
      </w:r>
    </w:p>
    <w:p w:rsidR="00000000" w:rsidDel="00000000" w:rsidP="00000000" w:rsidRDefault="00000000" w:rsidRPr="00000000" w14:paraId="000000A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Soporta el ciclo de vida de la compra, iniciando con la persistencia temporal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carrito_compras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productos_carrito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Finaliza en la generación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ordenes</w:t>
      </w:r>
      <w:r w:rsidDel="00000000" w:rsidR="00000000" w:rsidRPr="00000000">
        <w:rPr>
          <w:rtl w:val="0"/>
        </w:rPr>
        <w:t xml:space="preserve"> y su detalle histórico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ordenes_productos</w:t>
      </w:r>
      <w:r w:rsidDel="00000000" w:rsidR="00000000" w:rsidRPr="00000000">
        <w:rPr>
          <w:rtl w:val="0"/>
        </w:rPr>
        <w:t xml:space="preserve">, vinculando medios de pago y direcciones de envío.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Financiero y de Compensación (MLM):</w:t>
      </w:r>
    </w:p>
    <w:p w:rsidR="00000000" w:rsidDel="00000000" w:rsidP="00000000" w:rsidRDefault="00000000" w:rsidRPr="00000000" w14:paraId="000000A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 el núcleo de la lógica de negocio de HGW. Registra la asignación de incentivos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bonos_usuarios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Audita el flujo de puntos y dinero a través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historial_bv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owxs6msat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Documentación Detallada de Tablas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Debido a la extensión y detalle técnico de los atributos, tipos de datos, llaves primarias y foráneas de las </w:t>
      </w:r>
      <w:r w:rsidDel="00000000" w:rsidR="00000000" w:rsidRPr="00000000">
        <w:rPr>
          <w:b w:val="1"/>
          <w:bCs w:val="1"/>
          <w:rtl w:val="0"/>
        </w:rPr>
        <w:t xml:space="preserve">21 tablas</w:t>
      </w:r>
      <w:r w:rsidDel="00000000" w:rsidR="00000000" w:rsidRPr="00000000">
        <w:rPr>
          <w:rtl w:val="0"/>
        </w:rPr>
        <w:t xml:space="preserve"> que componen el sistema, la especificación técnica completa se encuentra alojada en el repositorio de documentación del proyecto.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consultar la definición exacta de cada campo (Type, Null, Default, Constraints), por favor acceda al siguiente enlace: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Diccionario de 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="360" w:lineRule="auto"/>
        <w:rPr>
          <w:rFonts w:ascii="Open Sans" w:cs="Open Sans" w:eastAsia="Open Sans" w:hAnsi="Open Sans"/>
        </w:rPr>
      </w:pPr>
      <w:bookmarkStart w:colFirst="0" w:colLast="0" w:name="_heading=h.ncvzxle3p6da" w:id="18"/>
      <w:bookmarkEnd w:id="18"/>
      <w:r w:rsidDel="00000000" w:rsidR="00000000" w:rsidRPr="00000000">
        <w:rPr>
          <w:rFonts w:ascii="Open Sans" w:cs="Open Sans" w:eastAsia="Open Sans" w:hAnsi="Open Sans"/>
          <w:rtl w:val="0"/>
        </w:rPr>
        <w:t xml:space="preserve">5. Plan de instalación y Despliegue</w:t>
        <w:br w:type="textWrapping"/>
      </w:r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De acuerdo con el documento </w:t>
      </w:r>
      <w:hyperlink r:id="rId11">
        <w:r w:rsidDel="00000000" w:rsidR="00000000" w:rsidRPr="00000000">
          <w:rPr>
            <w:color w:val="1155cc"/>
            <w:sz w:val="26"/>
            <w:szCs w:val="26"/>
            <w:rtl w:val="0"/>
          </w:rPr>
          <w:t xml:space="preserve">Manual de Instalación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43vgbcscmz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Requisitos Previos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Hardware mínimo:</w:t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Procesador Intel i3 o superior</w:t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8 GB de RAM</w:t>
      </w:r>
    </w:p>
    <w:p w:rsidR="00000000" w:rsidDel="00000000" w:rsidP="00000000" w:rsidRDefault="00000000" w:rsidRPr="00000000" w14:paraId="000000B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10 GB de espacio disponible en disco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Software requerido:</w:t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Windows 10/11</w:t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Python 3.12 para la ejecución del backend Flask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Node.js 18+ para el frontend React</w:t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Flutter SDK para la aplicación móvil</w:t>
      </w:r>
    </w:p>
    <w:p w:rsidR="00000000" w:rsidDel="00000000" w:rsidP="00000000" w:rsidRDefault="00000000" w:rsidRPr="00000000" w14:paraId="000000C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XAMPP o Laragon para gestionar el servidor MySQL</w:t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MySQL Workbench para la administración de la base de datos</w:t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Git para control de versiones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GitHub Desktop para la gestión visual del repositorio y sincronización con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heading=h.d462qfhk9im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 Procedimiento de Instalación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0000ff"/>
          <w:sz w:val="26"/>
          <w:szCs w:val="26"/>
        </w:rPr>
      </w:pPr>
      <w:r w:rsidDel="00000000" w:rsidR="00000000" w:rsidRPr="00000000">
        <w:rPr>
          <w:rtl w:val="0"/>
        </w:rPr>
        <w:tab/>
      </w:r>
      <w:hyperlink r:id="rId12">
        <w:r w:rsidDel="00000000" w:rsidR="00000000" w:rsidRPr="00000000">
          <w:rPr>
            <w:color w:val="0000ff"/>
            <w:sz w:val="26"/>
            <w:szCs w:val="26"/>
            <w:rtl w:val="0"/>
          </w:rPr>
          <w:t xml:space="preserve">Manual de Instalación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="360" w:lineRule="auto"/>
        <w:rPr>
          <w:rFonts w:ascii="Open Sans" w:cs="Open Sans" w:eastAsia="Open Sans" w:hAnsi="Open Sans"/>
        </w:rPr>
      </w:pPr>
      <w:bookmarkStart w:colFirst="0" w:colLast="0" w:name="_heading=h.sq85fk677vq0" w:id="21"/>
      <w:bookmarkEnd w:id="21"/>
      <w:r w:rsidDel="00000000" w:rsidR="00000000" w:rsidRPr="00000000">
        <w:rPr>
          <w:rFonts w:ascii="Open Sans" w:cs="Open Sans" w:eastAsia="Open Sans" w:hAnsi="Open Sans"/>
          <w:rtl w:val="0"/>
        </w:rPr>
        <w:t xml:space="preserve">6. Estrategias de pruebas de calidad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Basado en los documentos </w:t>
      </w:r>
      <w:r w:rsidDel="00000000" w:rsidR="00000000" w:rsidRPr="00000000">
        <w:rPr>
          <w:i w:val="1"/>
          <w:iCs w:val="1"/>
          <w:rtl w:val="0"/>
        </w:rPr>
        <w:t xml:space="preserve">"</w:t>
      </w:r>
      <w:hyperlink r:id="rId1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01 Plan de Pruebas</w:t>
        </w:r>
      </w:hyperlink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"</w:t>
      </w:r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Plan de Aseguramiento de Calidad</w:t>
        </w:r>
      </w:hyperlink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yisyw2v9jy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Tipos de Pruebas Implementadas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Unitarias:</w:t>
      </w:r>
      <w:r w:rsidDel="00000000" w:rsidR="00000000" w:rsidRPr="00000000">
        <w:rPr>
          <w:rtl w:val="0"/>
        </w:rPr>
        <w:t xml:space="preserve"> Verificación de funciones individuales (ej. cálculo de bonos) usando herramientas como Jest.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Integración:</w:t>
      </w:r>
      <w:r w:rsidDel="00000000" w:rsidR="00000000" w:rsidRPr="00000000">
        <w:rPr>
          <w:rtl w:val="0"/>
        </w:rPr>
        <w:t xml:space="preserve"> Validación de la comunicación entre el Frontend y la API Backend.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 de Caja Negra:</w:t>
      </w:r>
      <w:r w:rsidDel="00000000" w:rsidR="00000000" w:rsidRPr="00000000">
        <w:rPr>
          <w:rtl w:val="0"/>
        </w:rPr>
        <w:t xml:space="preserve"> Validación de entradas y salidas esperadas sin observar el código interno (ej. Login exitoso/fallido).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23zp058bch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Estándares de Calidad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busca el cumplimiento de la norma </w:t>
      </w:r>
      <w:r w:rsidDel="00000000" w:rsidR="00000000" w:rsidRPr="00000000">
        <w:rPr>
          <w:b w:val="1"/>
          <w:bCs w:val="1"/>
          <w:rtl w:val="0"/>
        </w:rPr>
        <w:t xml:space="preserve">ISO/IEC 25010</w:t>
      </w:r>
      <w:r w:rsidDel="00000000" w:rsidR="00000000" w:rsidRPr="00000000">
        <w:rPr>
          <w:rtl w:val="0"/>
        </w:rPr>
        <w:t xml:space="preserve">, enfocándose en: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Funcionalidad:</w:t>
      </w:r>
      <w:r w:rsidDel="00000000" w:rsidR="00000000" w:rsidRPr="00000000">
        <w:rPr>
          <w:rtl w:val="0"/>
        </w:rPr>
        <w:t xml:space="preserve"> Cumplimiento de los requerimientos de negocio.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Fiabilidad:</w:t>
      </w:r>
      <w:r w:rsidDel="00000000" w:rsidR="00000000" w:rsidRPr="00000000">
        <w:rPr>
          <w:rtl w:val="0"/>
        </w:rPr>
        <w:t xml:space="preserve"> Disponibilidad del sistema y manejo de errores.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Usabilidad:</w:t>
      </w:r>
      <w:r w:rsidDel="00000000" w:rsidR="00000000" w:rsidRPr="00000000">
        <w:rPr>
          <w:rtl w:val="0"/>
        </w:rPr>
        <w:t xml:space="preserve"> Facilidad de navegación e interfaz intuitiva.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="360" w:lineRule="auto"/>
        <w:rPr>
          <w:rFonts w:ascii="Open Sans" w:cs="Open Sans" w:eastAsia="Open Sans" w:hAnsi="Open Sans"/>
        </w:rPr>
      </w:pPr>
      <w:bookmarkStart w:colFirst="0" w:colLast="0" w:name="_heading=h.zi4v2qp5hbqb" w:id="24"/>
      <w:bookmarkEnd w:id="24"/>
      <w:r w:rsidDel="00000000" w:rsidR="00000000" w:rsidRPr="00000000">
        <w:rPr>
          <w:rFonts w:ascii="Open Sans" w:cs="Open Sans" w:eastAsia="Open Sans" w:hAnsi="Open Sans"/>
          <w:rtl w:val="0"/>
        </w:rPr>
        <w:t xml:space="preserve">6. Mantenimiento y seguridad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el </w:t>
      </w:r>
      <w:r w:rsidDel="00000000" w:rsidR="00000000" w:rsidRPr="00000000">
        <w:rPr>
          <w:i w:val="1"/>
          <w:iCs w:val="1"/>
          <w:rtl w:val="0"/>
        </w:rPr>
        <w:t xml:space="preserve">"</w:t>
      </w:r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03 Plan de Respaldo y Restauración</w:t>
        </w:r>
      </w:hyperlink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"</w:t>
      </w:r>
      <w:hyperlink r:id="rId1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Plan de Gestión de Riesgos</w:t>
        </w:r>
      </w:hyperlink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j81pepws54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Plan de Respaldos (Backups)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Frecuencia:</w:t>
      </w:r>
      <w:r w:rsidDel="00000000" w:rsidR="00000000" w:rsidRPr="00000000">
        <w:rPr>
          <w:rtl w:val="0"/>
        </w:rPr>
        <w:t xml:space="preserve"> Se realizarán copias de seguridad incrementales diariamente y copias completas semanalmente.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Almacenamiento:</w:t>
      </w:r>
      <w:r w:rsidDel="00000000" w:rsidR="00000000" w:rsidRPr="00000000">
        <w:rPr>
          <w:rtl w:val="0"/>
        </w:rPr>
        <w:t xml:space="preserve"> Los respaldos se almacenarán en una ubicación externa al servidor principal (Nube/Servidor secundario).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Uso de comandos nativos de la base de datos (Dump/Restore).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77bs9uigfd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Plan de Restauración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fallo crítico: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la fecha del último backup estable.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Detener servicios de escritura en la base de datos.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script de restauración.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integridad de datos y reiniciar servicios.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fuh3sd0vj9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Gestión de Riesgos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han identificado riesgos como "Pérdida de conexión a BD" o "Sobrecarga del servidor", con planes de contingencia que incluyen redundancia de servidores y monitoreo constante.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="360" w:lineRule="auto"/>
        <w:rPr>
          <w:rFonts w:ascii="Open Sans" w:cs="Open Sans" w:eastAsia="Open Sans" w:hAnsi="Open Sans"/>
        </w:rPr>
      </w:pPr>
      <w:bookmarkStart w:colFirst="0" w:colLast="0" w:name="_heading=h.uawmpjb1fzu0" w:id="28"/>
      <w:bookmarkEnd w:id="28"/>
      <w:r w:rsidDel="00000000" w:rsidR="00000000" w:rsidRPr="00000000">
        <w:rPr>
          <w:rFonts w:ascii="Open Sans" w:cs="Open Sans" w:eastAsia="Open Sans" w:hAnsi="Open Sans"/>
          <w:rtl w:val="0"/>
        </w:rPr>
        <w:t xml:space="preserve">7. Evidencias técnicas y control de versiones.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wjp4sh2ueg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Control de Versiones (Git)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utilizó Git para el control de cambios, gestionando ramas para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fixes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333375</wp:posOffset>
            </wp:positionV>
            <wp:extent cx="6348413" cy="3323581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8413" cy="33235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="360" w:lineRule="auto"/>
        <w:rPr>
          <w:rFonts w:ascii="Open Sans" w:cs="Open Sans" w:eastAsia="Open Sans" w:hAnsi="Open Sans"/>
        </w:rPr>
      </w:pPr>
      <w:bookmarkStart w:colFirst="0" w:colLast="0" w:name="_heading=h.lcm42dgxtue9" w:id="30"/>
      <w:bookmarkEnd w:id="30"/>
      <w:r w:rsidDel="00000000" w:rsidR="00000000" w:rsidRPr="00000000">
        <w:rPr>
          <w:rFonts w:ascii="Open Sans" w:cs="Open Sans" w:eastAsia="Open Sans" w:hAnsi="Open Sans"/>
          <w:rtl w:val="0"/>
        </w:rPr>
        <w:t xml:space="preserve">8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Operación del Sistema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Login y registro: autenticación segura con usuario y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Gestión de catálogo: creación, edición y eliminación de productos y categorías.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Carrito de compras: agregar, modificar y eliminar productos con validación de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Pagos: integración con pasarelas seguras, confirmación de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Membresías y bonos: sistema de puntos y recompensas.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Alertas: notificación de stock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="360" w:lineRule="auto"/>
        <w:rPr>
          <w:rFonts w:ascii="Open Sans" w:cs="Open Sans" w:eastAsia="Open Sans" w:hAnsi="Open Sans"/>
        </w:rPr>
      </w:pPr>
      <w:bookmarkStart w:colFirst="0" w:colLast="0" w:name="_heading=h.za01iem5ogfy" w:id="31"/>
      <w:bookmarkEnd w:id="31"/>
      <w:r w:rsidDel="00000000" w:rsidR="00000000" w:rsidRPr="00000000">
        <w:rPr>
          <w:rFonts w:ascii="Open Sans" w:cs="Open Sans" w:eastAsia="Open Sans" w:hAnsi="Open Sans"/>
          <w:rtl w:val="0"/>
        </w:rPr>
        <w:t xml:space="preserve">9. Pruebas y Validación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Pruebas unitarias: validación de funciones críticas (login, carrito, pagos).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Pruebas de integración:</w:t>
      </w:r>
      <w:sdt>
        <w:sdtPr>
          <w:id w:val="-21034066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interacción entre módulos (usuarios ↔ catálogo ↔ pagos).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Pruebas de aceptación: simulación de compra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Simulacros de restauración: cada 24 meses, documentando resultados.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="360" w:lineRule="auto"/>
        <w:rPr>
          <w:rFonts w:ascii="Open Sans" w:cs="Open Sans" w:eastAsia="Open Sans" w:hAnsi="Open Sans"/>
        </w:rPr>
      </w:pPr>
      <w:bookmarkStart w:colFirst="0" w:colLast="0" w:name="_heading=h.5o49ofjomatq" w:id="32"/>
      <w:bookmarkEnd w:id="32"/>
      <w:r w:rsidDel="00000000" w:rsidR="00000000" w:rsidRPr="00000000">
        <w:rPr>
          <w:rFonts w:ascii="Open Sans" w:cs="Open Sans" w:eastAsia="Open Sans" w:hAnsi="Open Sans"/>
          <w:rtl w:val="0"/>
        </w:rPr>
        <w:t xml:space="preserve">10. Roles y Responsabilidades</w:t>
      </w:r>
    </w:p>
    <w:p w:rsidR="00000000" w:rsidDel="00000000" w:rsidP="00000000" w:rsidRDefault="00000000" w:rsidRPr="00000000" w14:paraId="000000FC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1785"/>
        <w:gridCol w:w="2805"/>
        <w:gridCol w:w="2355"/>
        <w:tblGridChange w:id="0">
          <w:tblGrid>
            <w:gridCol w:w="1995"/>
            <w:gridCol w:w="1785"/>
            <w:gridCol w:w="2805"/>
            <w:gridCol w:w="2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Correo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Responsabilidad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Miguel Ángel Tunjano Correa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Desarrollador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matcar1229@gmail.com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Desarrollo, restauración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Kevin Santiago Montealegre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Desarrollador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ksmz2006@gmail.com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Desarrollo, soporte técnico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Fabian Amaya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Desarrollador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ozkaritogioserver@gmail.com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Desarrollo, soporte técnico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Nicol Córdoba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Desarrollador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nicolcordobam@gmail.com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36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Desarrollo, soporte técnico</w:t>
            </w:r>
          </w:p>
        </w:tc>
      </w:tr>
    </w:tbl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="360" w:lineRule="auto"/>
        <w:rPr>
          <w:rFonts w:ascii="Open Sans" w:cs="Open Sans" w:eastAsia="Open Sans" w:hAnsi="Open Sans"/>
        </w:rPr>
      </w:pPr>
      <w:bookmarkStart w:colFirst="0" w:colLast="0" w:name="_heading=h.sr1i0a9dtefn" w:id="33"/>
      <w:bookmarkEnd w:id="33"/>
      <w:r w:rsidDel="00000000" w:rsidR="00000000" w:rsidRPr="00000000">
        <w:rPr>
          <w:rFonts w:ascii="Open Sans" w:cs="Open Sans" w:eastAsia="Open Sans" w:hAnsi="Open Sans"/>
          <w:rtl w:val="0"/>
        </w:rPr>
        <w:t xml:space="preserve">11. Cronograma de Revisión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Revisión del manual: cada 36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Actualización del plan de restauración: cada 36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240" w:before="0" w:line="36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Pruebas de restauración: cada 24 meses.</w:t>
      </w:r>
    </w:p>
    <w:p w:rsidR="00000000" w:rsidDel="00000000" w:rsidP="00000000" w:rsidRDefault="00000000" w:rsidRPr="00000000" w14:paraId="00000117">
      <w:pPr>
        <w:spacing w:line="360" w:lineRule="auto"/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Referencias: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Nicol Dayana Cordoba Maldonado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(2025). Manual Técnico: Refactorización y modernización del portal de ventas de HGW. Servicio Nacional de Aprendizaje – SENA.</w:t>
      </w:r>
    </w:p>
    <w:p w:rsidR="00000000" w:rsidDel="00000000" w:rsidP="00000000" w:rsidRDefault="00000000" w:rsidRPr="00000000" w14:paraId="00000119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tabs>
        <w:tab w:val="center" w:leader="none" w:pos="4419"/>
        <w:tab w:val="right" w:leader="none" w:pos="8838"/>
      </w:tabs>
      <w:spacing w:line="276" w:lineRule="auto"/>
      <w:jc w:val="right"/>
      <w:rPr>
        <w:rFonts w:ascii="Calibri" w:cs="Calibri" w:eastAsia="Calibri" w:hAnsi="Calibri"/>
        <w:color w:val="0d0d0d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d0d0d"/>
        <w:sz w:val="28"/>
        <w:szCs w:val="28"/>
        <w:rtl w:val="0"/>
      </w:rPr>
      <w:t xml:space="preserve">HGW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-28797</wp:posOffset>
          </wp:positionH>
          <wp:positionV relativeFrom="paragraph">
            <wp:posOffset>-136795</wp:posOffset>
          </wp:positionV>
          <wp:extent cx="540000" cy="540000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B">
    <w:pPr>
      <w:tabs>
        <w:tab w:val="center" w:leader="none" w:pos="4419"/>
        <w:tab w:val="right" w:leader="none" w:pos="8838"/>
      </w:tabs>
      <w:spacing w:line="276" w:lineRule="auto"/>
      <w:jc w:val="center"/>
      <w:rPr>
        <w:rFonts w:ascii="Calibri" w:cs="Calibri" w:eastAsia="Calibri" w:hAnsi="Calibri"/>
        <w:color w:val="365f91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-123822</wp:posOffset>
              </wp:positionH>
              <wp:positionV relativeFrom="paragraph">
                <wp:posOffset>147320</wp:posOffset>
              </wp:positionV>
              <wp:extent cx="5836920" cy="25771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-123822</wp:posOffset>
              </wp:positionH>
              <wp:positionV relativeFrom="paragraph">
                <wp:posOffset>147320</wp:posOffset>
              </wp:positionV>
              <wp:extent cx="5836920" cy="25771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6920" cy="2577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u/0/d/1DTEV09Hocr6T88dc-LC2PoxjzvQVogJk/edit" TargetMode="External"/><Relationship Id="rId10" Type="http://schemas.openxmlformats.org/officeDocument/2006/relationships/hyperlink" Target="http://diccionariodedatoshgw.netlify.app" TargetMode="External"/><Relationship Id="rId13" Type="http://schemas.openxmlformats.org/officeDocument/2006/relationships/hyperlink" Target="https://docs.google.com/document/u/0/d/1jVbKRMz_L0usiudWWru7UmVvY3yY8MI0/edit" TargetMode="External"/><Relationship Id="rId12" Type="http://schemas.openxmlformats.org/officeDocument/2006/relationships/hyperlink" Target="https://docs.google.com/document/u/0/d/1kT8pSvYoo2mJ6t2F_pmF4FzorZVntQKa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hyperlink" Target="https://docs.google.com/document/u/0/d/1sN1PLZAefce4l0gQh0yjpIIFyC_QZ-Ox/edit" TargetMode="External"/><Relationship Id="rId14" Type="http://schemas.openxmlformats.org/officeDocument/2006/relationships/hyperlink" Target="https://docs.google.com/document/u/0/d/1aUlHu99iHrT56za0J80AW2UEu9acChOJ/edit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docs.google.com/document/u/0/d/1cbDuwYo4O_s8b4mCwVLOge2OiYyp2pq3eBM3yvIAWFQ/ed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hyperlink" Target="https://drive.google.com/open?id=1dxqjcTS-xll5WXec3WepYKbdt0IHh6t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nphbtFG3J7p6g+1Wgc4n70PX8w==">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