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04</w:t>
            </w:r>
          </w:p>
          <w:p>
            <w:pPr>
              <w:spacing w:after="40"/>
              <w:rPr>
                <w:lang w:val="nl-NL"/>
              </w:rPr>
            </w:pPr>
            <w:r>
              <w:rPr>
                <w:b/>
                <w:bCs/>
                <w:color w:val="FFFFFF"/>
                <w:sz w:val="46"/>
                <w:szCs w:val="46"/>
                <w:lang w:val="nl-NL"/>
              </w:rPr>
              <w:t xml:space="preserve">Stakeholderanalyse</w:t>
            </w:r>
          </w:p>
          <w:p>
            <w:pPr>
              <w:rPr>
                <w:lang w:val="nl-NL"/>
              </w:rPr>
            </w:pPr>
            <w:r>
              <w:rPr>
                <w:color w:val="D0E3CF"/>
                <w:sz w:val="22"/>
                <w:szCs w:val="22"/>
                <w:lang w:val="nl-NL"/>
              </w:rPr>
              <w:t xml:space="preserve">In kaart brengen wie belang heeft bij je project en wie er invloed op heeft</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Aan de start, zodra je de vraag kent. Bijwerken als er partijen bij komen.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ingevuld grid en een lijst met per partij je aanpak.</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Een stakeholder is iedereen met een belang bij of invloed op je project: je opdrachtgever, de gebruikers, collega's van andere afdelingen, leveranciers. Je brengt ze in kaart om te weten van wie je informatie nodig hebt, en om te voorkomen dat iemand met veel invloed halverwege dwarsligt omdat je die persoon niet hebt betrokken.</w:t>
      </w:r>
    </w:p>
    <w:p>
      <w:pPr>
        <w:spacing w:before="80" w:after="60"/>
        <w:jc w:val="center"/>
      </w:pPr>
      <w:r>
        <w:rPr>
          <w:noProof/>
        </w:rPr>
        <w:drawing>
          <wp:inline distT="0" distB="0" distL="0" distR="0">
            <wp:extent cx="4591050" cy="3743325"/>
            <wp:effectExtent l="0" t="0" r="0" b="0"/>
            <wp:docPr id="1" name="Macht/belang-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91050" cy="3743325"/>
                    </a:xfrm>
                    <a:prstGeom prst="rect">
                      <a:avLst/>
                    </a:prstGeom>
                  </pic:spPr>
                </pic:pic>
              </a:graphicData>
            </a:graphic>
          </wp:inline>
        </w:drawing>
      </w:r>
    </w:p>
    <w:p>
      <w:pPr>
        <w:spacing w:after="120"/>
        <w:jc w:val="center"/>
        <w:rPr>
          <w:lang w:val="nl-NL"/>
        </w:rPr>
      </w:pPr>
      <w:r>
        <w:rPr>
          <w:i/>
          <w:iCs/>
          <w:color w:val="7A6E66"/>
          <w:sz w:val="16"/>
          <w:szCs w:val="16"/>
          <w:lang w:val="nl-NL"/>
        </w:rPr>
        <w:t xml:space="preserve">Het macht/belang-grid met de aanpak per kwadrant.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546"/>
      </w:tblGrid>
      <w:tr>
        <w:trPr>
          <w:tblHeader/>
        </w:trPr>
        <w:tc>
          <w:tcPr>
            <w:tcW w:w="26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Kwadrant</w:t>
            </w:r>
          </w:p>
        </w:tc>
        <w:tc>
          <w:tcPr>
            <w:tcW w:w="36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het betekent</w:t>
            </w:r>
          </w:p>
        </w:tc>
        <w:tc>
          <w:tcPr>
            <w:tcW w:w="35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doe je</w:t>
            </w:r>
          </w:p>
        </w:tc>
      </w:tr>
      <w:tr>
        <w:trPr>
          <w:cantSpli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Hoge invloed, hoog belang</w:t>
            </w:r>
          </w:p>
        </w:tc>
        <w:tc>
          <w:tcPr>
            <w:tcW w:w="3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Je belangrijkste partijen. Vaak de opdrachtgever of een beslisser.</w:t>
            </w:r>
          </w:p>
        </w:tc>
        <w:tc>
          <w:tcPr>
            <w:tcW w:w="3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Nauw betrekken: stem regelmatig af.</w:t>
            </w:r>
          </w:p>
        </w:tc>
      </w:tr>
      <w:tr>
        <w:trPr>
          <w:cantSpli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Hoge invloed, laag belang</w:t>
            </w:r>
          </w:p>
        </w:tc>
        <w:tc>
          <w:tcPr>
            <w:tcW w:w="3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Veel zeggenschap, weinig direct belang.</w:t>
            </w:r>
          </w:p>
        </w:tc>
        <w:tc>
          <w:tcPr>
            <w:tcW w:w="3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Tevreden houden: informeer op hoofdlijnen.</w:t>
            </w:r>
          </w:p>
        </w:tc>
      </w:tr>
      <w:tr>
        <w:trPr>
          <w:cantSpli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Lage invloed, hoog belang</w:t>
            </w:r>
          </w:p>
        </w:tc>
        <w:tc>
          <w:tcPr>
            <w:tcW w:w="3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Groot belang, weinig macht. Vaak de gebruikers.</w:t>
            </w:r>
          </w:p>
        </w:tc>
        <w:tc>
          <w:tcPr>
            <w:tcW w:w="3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Goed informeren en hun input gebruiken.</w:t>
            </w:r>
          </w:p>
        </w:tc>
      </w:tr>
      <w:tr>
        <w:trPr>
          <w:cantSpli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Lage invloed, laag belang</w:t>
            </w:r>
          </w:p>
        </w:tc>
        <w:tc>
          <w:tcPr>
            <w:tcW w:w="3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Weinig belang, weinig macht.</w:t>
            </w:r>
          </w:p>
        </w:tc>
        <w:tc>
          <w:tcPr>
            <w:tcW w:w="3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In de gaten houden of dat verandert.</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het grid</w:t>
      </w:r>
    </w:p>
    <w:p>
      <w:pPr>
        <w:spacing w:after="120" w:line="264" w:lineRule="auto"/>
        <w:rPr>
          <w:lang w:val="nl-NL"/>
        </w:rPr>
      </w:pPr>
      <w:r>
        <w:rPr>
          <w:lang w:val="nl-NL"/>
        </w:rPr>
        <w:t xml:space="preserve">Plaats je stakeholders in het juiste vak en zet erbij waarom ze daar staan. Zonder die onderbouwing is het grid een plaatje.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73"/>
        <w:gridCol w:w="4173"/>
      </w:tblGrid>
      <w:tr>
        <w:trPr>
          <w:tblHeader/>
        </w:trPr>
        <w:tc>
          <w:tcPr>
            <w:tcW w:w="1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
            </w:r>
          </w:p>
        </w:tc>
        <w:tc>
          <w:tcPr>
            <w:tcW w:w="417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Laag belang</w:t>
            </w:r>
          </w:p>
        </w:tc>
        <w:tc>
          <w:tcPr>
            <w:tcW w:w="417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Hoog belang</w:t>
            </w:r>
          </w:p>
        </w:tc>
      </w:tr>
      <w:tr>
        <w:trPr>
          <w:cantSplit/>
          <w:trHeight w:val="3000" w:hRule="atLeast"/>
        </w:trPr>
        <w:tc>
          <w:tcPr>
            <w:tcW w:w="14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Hoge invloed</w:t>
            </w:r>
          </w:p>
        </w:tc>
        <w:tc>
          <w:tcPr>
            <w:tcW w:w="41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Tevreden houden</w:t>
            </w:r>
          </w:p>
          <w:p>
            <w:pPr>
              <w:spacing w:after="60"/>
              <w:rPr>
                <w:lang w:val="nl-NL"/>
              </w:rPr>
            </w:pPr>
            <w:r>
              <w:rPr>
                <w:i/>
                <w:iCs/>
                <w:color w:val="7A6E66"/>
                <w:sz w:val="17"/>
                <w:szCs w:val="17"/>
                <w:lang w:val="nl-NL"/>
              </w:rPr>
              <w:t xml:space="preserve">Wie, en waarom hier?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c>
          <w:tcPr>
            <w:tcW w:w="41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Nauw betrekken</w:t>
            </w:r>
          </w:p>
          <w:p>
            <w:pPr>
              <w:spacing w:after="60"/>
              <w:rPr>
                <w:lang w:val="nl-NL"/>
              </w:rPr>
            </w:pPr>
            <w:r>
              <w:rPr>
                <w:i/>
                <w:iCs/>
                <w:color w:val="7A6E66"/>
                <w:sz w:val="17"/>
                <w:szCs w:val="17"/>
                <w:lang w:val="nl-NL"/>
              </w:rPr>
              <w:t xml:space="preserve">Wie, en waarom hier?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000" w:hRule="atLeast"/>
        </w:trPr>
        <w:tc>
          <w:tcPr>
            <w:tcW w:w="14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Lage invloed</w:t>
            </w:r>
          </w:p>
        </w:tc>
        <w:tc>
          <w:tcPr>
            <w:tcW w:w="41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In de gaten houden</w:t>
            </w:r>
          </w:p>
          <w:p>
            <w:pPr>
              <w:spacing w:after="60"/>
              <w:rPr>
                <w:lang w:val="nl-NL"/>
              </w:rPr>
            </w:pPr>
            <w:r>
              <w:rPr>
                <w:i/>
                <w:iCs/>
                <w:color w:val="7A6E66"/>
                <w:sz w:val="17"/>
                <w:szCs w:val="17"/>
                <w:lang w:val="nl-NL"/>
              </w:rPr>
              <w:t xml:space="preserve">Wie, en waarom hier?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c>
          <w:tcPr>
            <w:tcW w:w="41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Goed informeren</w:t>
            </w:r>
          </w:p>
          <w:p>
            <w:pPr>
              <w:spacing w:after="60"/>
              <w:rPr>
                <w:lang w:val="nl-NL"/>
              </w:rPr>
            </w:pPr>
            <w:r>
              <w:rPr>
                <w:i/>
                <w:iCs/>
                <w:color w:val="7A6E66"/>
                <w:sz w:val="17"/>
                <w:szCs w:val="17"/>
                <w:lang w:val="nl-NL"/>
              </w:rPr>
              <w:t xml:space="preserve">Wie, en waarom hier?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stakeholderlijst</w:t>
      </w:r>
    </w:p>
    <w:p>
      <w:pPr>
        <w:spacing w:after="120" w:line="264" w:lineRule="auto"/>
        <w:rPr>
          <w:lang w:val="nl-NL"/>
        </w:rPr>
      </w:pPr>
      <w:r>
        <w:rPr>
          <w:lang w:val="nl-NL"/>
        </w:rPr>
        <w:t xml:space="preserve">De laatste kolom is de belangrijkste: daar vertaal je de analyse naar wat je daadwerkelijk gaat doen.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4346"/>
      </w:tblGrid>
      <w:tr>
        <w:trPr>
          <w:tblHeader/>
        </w:trPr>
        <w:tc>
          <w:tcPr>
            <w:tcW w:w="2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Naam of rol</w:t>
            </w:r>
          </w:p>
        </w:tc>
        <w:tc>
          <w:tcPr>
            <w:tcW w:w="15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Belang</w:t>
            </w:r>
          </w:p>
        </w:tc>
        <w:tc>
          <w:tcPr>
            <w:tcW w:w="15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Invloed</w:t>
            </w:r>
          </w:p>
        </w:tc>
        <w:tc>
          <w:tcPr>
            <w:tcW w:w="43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Hun belang en jouw aanpak</w:t>
            </w: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Beoordeel op feiten, niet op hoe toegankelijk iemand is.</w:t>
            </w:r>
            <w:r>
              <w:rPr>
                <w:lang w:val="nl-NL"/>
              </w:rPr>
              <w:t xml:space="preserve"> De vriendelijke contactpersoon heeft soms weinig te zeggen; de stille manager beslist.</w:t>
            </w:r>
          </w:p>
          <w:p>
            <w:pPr>
              <w:pStyle w:val="ListParagraph"/>
              <w:numPr>
                <w:ilvl w:val="0"/>
                <w:numId w:val="900"/>
              </w:numPr>
              <w:spacing w:after="90" w:line="262" w:lineRule="auto"/>
              <w:rPr>
                <w:lang w:val="nl-NL"/>
              </w:rPr>
            </w:pPr>
            <w:r>
              <w:rPr>
                <w:b/>
                <w:bCs/>
                <w:lang w:val="nl-NL"/>
              </w:rPr>
              <w:t xml:space="preserve">Onderschat je gebruikers niet.</w:t>
            </w:r>
            <w:r>
              <w:rPr>
                <w:lang w:val="nl-NL"/>
              </w:rPr>
              <w:t xml:space="preserve"> Ze hebben vaak veel belang en weinig macht, maar hun input maakt het resultaat beter.</w:t>
            </w:r>
          </w:p>
          <w:p>
            <w:pPr>
              <w:pStyle w:val="ListParagraph"/>
              <w:numPr>
                <w:ilvl w:val="0"/>
                <w:numId w:val="900"/>
              </w:numPr>
              <w:spacing w:after="90" w:line="262" w:lineRule="auto"/>
              <w:rPr>
                <w:lang w:val="nl-NL"/>
              </w:rPr>
            </w:pPr>
            <w:r>
              <w:rPr>
                <w:b/>
                <w:bCs/>
                <w:lang w:val="nl-NL"/>
              </w:rPr>
              <w:t xml:space="preserve">Vraag je opdrachtgever wie je mist.</w:t>
            </w:r>
            <w:r>
              <w:rPr>
                <w:lang w:val="nl-NL"/>
              </w:rPr>
              <w:t xml:space="preserve"> Die kent de organisatie beter dan jij.</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Alleen de opdrachtgever in kaart brengen.</w:t>
            </w:r>
            <w:r>
              <w:rPr>
                <w:lang w:val="nl-NL"/>
              </w:rPr>
              <w:t xml:space="preserve"> Die heeft blinde vlekken. Zoek ook gebruikers en mensen elders in het proces.</w:t>
            </w:r>
          </w:p>
          <w:p>
            <w:pPr>
              <w:pStyle w:val="ListParagraph"/>
              <w:numPr>
                <w:ilvl w:val="0"/>
                <w:numId w:val="900"/>
              </w:numPr>
              <w:spacing w:after="90" w:line="262" w:lineRule="auto"/>
              <w:rPr>
                <w:lang w:val="nl-NL"/>
              </w:rPr>
            </w:pPr>
            <w:r>
              <w:rPr>
                <w:b/>
                <w:bCs/>
                <w:lang w:val="nl-NL"/>
              </w:rPr>
              <w:t xml:space="preserve">Invloed en belang door elkaar halen.</w:t>
            </w:r>
            <w:r>
              <w:rPr>
                <w:lang w:val="nl-NL"/>
              </w:rPr>
              <w:t xml:space="preserve"> Beoordeel ze los van elkaar.</w:t>
            </w:r>
          </w:p>
          <w:p>
            <w:pPr>
              <w:pStyle w:val="ListParagraph"/>
              <w:numPr>
                <w:ilvl w:val="0"/>
                <w:numId w:val="900"/>
              </w:numPr>
              <w:spacing w:after="90" w:line="262" w:lineRule="auto"/>
              <w:rPr>
                <w:lang w:val="nl-NL"/>
              </w:rPr>
            </w:pPr>
            <w:r>
              <w:rPr>
                <w:b/>
                <w:bCs/>
                <w:lang w:val="nl-NL"/>
              </w:rPr>
              <w:t xml:space="preserve">Niets met de uitkomst doen.</w:t>
            </w:r>
            <w:r>
              <w:rPr>
                <w:lang w:val="nl-NL"/>
              </w:rPr>
              <w:t xml:space="preserve"> Vertaal het naar concrete afspraken over contact (zie 03 Opdrachtgever-afspraken).</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Opleidingsmanager:</w:t>
            </w:r>
            <w:r>
              <w:rPr>
                <w:lang w:val="nl-NL"/>
              </w:rPr>
              <w:t xml:space="preserve"> hoog belang en hoge invloed, want zij beslist of docenten uren krijgen. Nauw betrekken.</w:t>
            </w:r>
          </w:p>
          <w:p>
            <w:pPr>
              <w:spacing w:after="80" w:line="260" w:lineRule="auto"/>
              <w:rPr>
                <w:lang w:val="nl-NL"/>
              </w:rPr>
            </w:pPr>
            <w:r>
              <w:rPr>
                <w:b/>
                <w:bCs/>
                <w:lang w:val="nl-NL"/>
              </w:rPr>
              <w:t xml:space="preserve">Roosterbureau:</w:t>
            </w:r>
            <w:r>
              <w:rPr>
                <w:lang w:val="nl-NL"/>
              </w:rPr>
              <w:t xml:space="preserve"> hoge invloed, laag belang. Zonder hen past het programma nergens in. Tevreden houden en op tijd informeren.</w:t>
            </w:r>
          </w:p>
          <w:p>
            <w:pPr>
              <w:spacing w:after="80" w:line="260" w:lineRule="auto"/>
              <w:rPr>
                <w:lang w:val="nl-NL"/>
              </w:rPr>
            </w:pPr>
            <w:r>
              <w:rPr>
                <w:b/>
                <w:bCs/>
                <w:lang w:val="nl-NL"/>
              </w:rPr>
              <w:t xml:space="preserve">Docenten:</w:t>
            </w:r>
            <w:r>
              <w:rPr>
                <w:lang w:val="nl-NL"/>
              </w:rPr>
              <w:t xml:space="preserve"> hoog belang, lage invloed. Zij moeten ermee werken. Goed informeren en hun ervaring ophalen voordat je het programma vastzet.</w:t>
            </w:r>
          </w:p>
          <w:p>
            <w:pPr>
              <w:spacing w:after="80" w:line="260" w:lineRule="auto"/>
              <w:rPr>
                <w:lang w:val="nl-NL"/>
              </w:rPr>
            </w:pPr>
            <w:r>
              <w:rPr>
                <w:b/>
                <w:bCs/>
                <w:lang w:val="nl-NL"/>
              </w:rPr>
              <w:t xml:space="preserve">Studenten:</w:t>
            </w:r>
            <w:r>
              <w:rPr>
                <w:lang w:val="nl-NL"/>
              </w:rPr>
              <w:t xml:space="preserve"> hoog belang, lage invloed. Vraag wat zij er in hun opleiding aan hebben.</w:t>
            </w:r>
          </w:p>
          <w:p>
            <w:pPr>
              <w:spacing w:after="80" w:line="260" w:lineRule="auto"/>
              <w:rPr>
                <w:lang w:val="nl-NL"/>
              </w:rPr>
            </w:pPr>
            <w:r>
              <w:rPr>
                <w:b/>
                <w:bCs/>
                <w:lang w:val="nl-NL"/>
              </w:rPr>
              <w:t xml:space="preserve">Communicatieafdeling:</w:t>
            </w:r>
            <w:r>
              <w:rPr>
                <w:lang w:val="nl-NL"/>
              </w:rPr>
              <w:t xml:space="preserve"> laag belang, lage invloed in deze fase. In de gaten houden.</w:t>
            </w:r>
          </w:p>
        </w:tc>
      </w:tr>
    </w:tbl>
    <w:p>
      <w:pPr>
        <w:spacing w:after="120"/>
        <w:rPr>
          <w:lang w:val="nl-NL"/>
        </w:rPr>
      </w:pPr>
    </w:p>
    <w:sectPr w:rsidR="00CA3F0E">
      <w:headerReference w:type="default" r:id="rId8"/>
      <w:footerReference w:type="default" r:id="rId9"/>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CF6B" w14:textId="77777777" w:rsidR="00CA3F0E" w:rsidRDefault="00CA3F0E">
      <w:r>
        <w:separator/>
      </w:r>
    </w:p>
  </w:endnote>
  <w:endnote w:type="continuationSeparator" w:id="0">
    <w:p w14:paraId="25511825" w14:textId="77777777" w:rsidR="00CA3F0E" w:rsidRDefault="00CA3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BF577" w14:textId="77777777" w:rsidR="00CA3F0E" w:rsidRDefault="00CA3F0E">
      <w:r>
        <w:separator/>
      </w:r>
    </w:p>
  </w:footnote>
  <w:footnote w:type="continuationSeparator" w:id="0">
    <w:p w14:paraId="6B1B10A9" w14:textId="77777777" w:rsidR="00CA3F0E" w:rsidRDefault="00CA3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6" w:space="6" w:color="5C7A5A"/>
      </w:pBdr>
      <w:tabs>
        <w:tab w:val="right" w:pos="9746"/>
      </w:tabs>
    </w:pPr>
    <w:r>
      <w:rPr>
        <w:rFonts w:ascii="Arial" w:cs="Arial" w:eastAsia="Arial" w:hAnsi="Arial"/>
        <w:b/>
        <w:bCs/>
        <w:color w:val="7A6E66"/>
        <w:sz w:val="16"/>
        <w:szCs w:val="16"/>
      </w:rPr>
      <w:t xml:space="preserve">Stakeholderanalyse</w:t>
    </w:r>
    <w:r>
      <w:rPr>
        <w:rFonts w:ascii="Arial" w:cs="Arial" w:eastAsia="Arial" w:hAnsi="Arial"/>
        <w:color w:val="7A6E66"/>
        <w:sz w:val="16"/>
        <w:szCs w:val="16"/>
      </w:rPr>
      <w:t xml:space="preserve">	HULPMIDDEL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5282"/>
    <w:multiLevelType w:val="hybridMultilevel"/>
    <w:tmpl w:val="2E1C436A"/>
    <w:lvl w:ilvl="0" w:tplc="8DE8A0AA">
      <w:start w:val="1"/>
      <w:numFmt w:val="bullet"/>
      <w:lvlText w:val="•"/>
      <w:lvlJc w:val="left"/>
      <w:pPr>
        <w:ind w:left="460" w:hanging="260"/>
      </w:pPr>
      <w:rPr>
        <w:color w:val="E5007D"/>
      </w:rPr>
    </w:lvl>
    <w:lvl w:ilvl="1" w:tplc="08FC19AC">
      <w:numFmt w:val="decimal"/>
      <w:lvlText w:val=""/>
      <w:lvlJc w:val="left"/>
    </w:lvl>
    <w:lvl w:ilvl="2" w:tplc="4184D834">
      <w:numFmt w:val="decimal"/>
      <w:lvlText w:val=""/>
      <w:lvlJc w:val="left"/>
    </w:lvl>
    <w:lvl w:ilvl="3" w:tplc="FFB2ECBC">
      <w:numFmt w:val="decimal"/>
      <w:lvlText w:val=""/>
      <w:lvlJc w:val="left"/>
    </w:lvl>
    <w:lvl w:ilvl="4" w:tplc="662AE614">
      <w:numFmt w:val="decimal"/>
      <w:lvlText w:val=""/>
      <w:lvlJc w:val="left"/>
    </w:lvl>
    <w:lvl w:ilvl="5" w:tplc="09E6042A">
      <w:numFmt w:val="decimal"/>
      <w:lvlText w:val=""/>
      <w:lvlJc w:val="left"/>
    </w:lvl>
    <w:lvl w:ilvl="6" w:tplc="0D026BCC">
      <w:numFmt w:val="decimal"/>
      <w:lvlText w:val=""/>
      <w:lvlJc w:val="left"/>
    </w:lvl>
    <w:lvl w:ilvl="7" w:tplc="F95CE716">
      <w:numFmt w:val="decimal"/>
      <w:lvlText w:val=""/>
      <w:lvlJc w:val="left"/>
    </w:lvl>
    <w:lvl w:ilvl="8" w:tplc="D38AD33A">
      <w:numFmt w:val="decimal"/>
      <w:lvlText w:val=""/>
      <w:lvlJc w:val="left"/>
    </w:lvl>
  </w:abstractNum>
  <w:abstractNum w:abstractNumId="1" w15:restartNumberingAfterBreak="0">
    <w:nsid w:val="23203BC2"/>
    <w:multiLevelType w:val="hybridMultilevel"/>
    <w:tmpl w:val="40AC8FE8"/>
    <w:lvl w:ilvl="0" w:tplc="3F307CFA">
      <w:start w:val="1"/>
      <w:numFmt w:val="bullet"/>
      <w:lvlText w:val="●"/>
      <w:lvlJc w:val="left"/>
      <w:pPr>
        <w:ind w:left="720" w:hanging="360"/>
      </w:pPr>
    </w:lvl>
    <w:lvl w:ilvl="1" w:tplc="1F0C7874">
      <w:start w:val="1"/>
      <w:numFmt w:val="bullet"/>
      <w:lvlText w:val="○"/>
      <w:lvlJc w:val="left"/>
      <w:pPr>
        <w:ind w:left="1440" w:hanging="360"/>
      </w:pPr>
    </w:lvl>
    <w:lvl w:ilvl="2" w:tplc="6A28F8E0">
      <w:start w:val="1"/>
      <w:numFmt w:val="bullet"/>
      <w:lvlText w:val="■"/>
      <w:lvlJc w:val="left"/>
      <w:pPr>
        <w:ind w:left="2160" w:hanging="360"/>
      </w:pPr>
    </w:lvl>
    <w:lvl w:ilvl="3" w:tplc="57DE6778">
      <w:start w:val="1"/>
      <w:numFmt w:val="bullet"/>
      <w:lvlText w:val="●"/>
      <w:lvlJc w:val="left"/>
      <w:pPr>
        <w:ind w:left="2880" w:hanging="360"/>
      </w:pPr>
    </w:lvl>
    <w:lvl w:ilvl="4" w:tplc="F7C00F58">
      <w:start w:val="1"/>
      <w:numFmt w:val="bullet"/>
      <w:lvlText w:val="○"/>
      <w:lvlJc w:val="left"/>
      <w:pPr>
        <w:ind w:left="3600" w:hanging="360"/>
      </w:pPr>
    </w:lvl>
    <w:lvl w:ilvl="5" w:tplc="EDEAB04A">
      <w:start w:val="1"/>
      <w:numFmt w:val="bullet"/>
      <w:lvlText w:val="■"/>
      <w:lvlJc w:val="left"/>
      <w:pPr>
        <w:ind w:left="4320" w:hanging="360"/>
      </w:pPr>
    </w:lvl>
    <w:lvl w:ilvl="6" w:tplc="B800742C">
      <w:start w:val="1"/>
      <w:numFmt w:val="bullet"/>
      <w:lvlText w:val="●"/>
      <w:lvlJc w:val="left"/>
      <w:pPr>
        <w:ind w:left="5040" w:hanging="360"/>
      </w:pPr>
    </w:lvl>
    <w:lvl w:ilvl="7" w:tplc="55643034">
      <w:start w:val="1"/>
      <w:numFmt w:val="bullet"/>
      <w:lvlText w:val="●"/>
      <w:lvlJc w:val="left"/>
      <w:pPr>
        <w:ind w:left="5760" w:hanging="360"/>
      </w:pPr>
    </w:lvl>
    <w:lvl w:ilvl="8" w:tplc="C4885320">
      <w:start w:val="1"/>
      <w:numFmt w:val="bullet"/>
      <w:lvlText w:val="●"/>
      <w:lvlJc w:val="left"/>
      <w:pPr>
        <w:ind w:left="6480" w:hanging="360"/>
      </w:pPr>
    </w:lvl>
  </w:abstractNum>
  <w:abstractNum w:abstractNumId="2" w15:restartNumberingAfterBreak="0">
    <w:nsid w:val="3B9C12C2"/>
    <w:multiLevelType w:val="hybridMultilevel"/>
    <w:tmpl w:val="C0F4C87E"/>
    <w:lvl w:ilvl="0" w:tplc="181658EC">
      <w:start w:val="1"/>
      <w:numFmt w:val="bullet"/>
      <w:lvlText w:val="✓"/>
      <w:lvlJc w:val="left"/>
      <w:pPr>
        <w:ind w:left="460" w:hanging="260"/>
      </w:pPr>
      <w:rPr>
        <w:rFonts w:ascii="Arial" w:eastAsia="Arial" w:hAnsi="Arial" w:cs="Arial"/>
        <w:color w:val="E5007D"/>
      </w:rPr>
    </w:lvl>
    <w:lvl w:ilvl="1" w:tplc="DEC6F8C4">
      <w:numFmt w:val="decimal"/>
      <w:lvlText w:val=""/>
      <w:lvlJc w:val="left"/>
    </w:lvl>
    <w:lvl w:ilvl="2" w:tplc="FCBC850E">
      <w:numFmt w:val="decimal"/>
      <w:lvlText w:val=""/>
      <w:lvlJc w:val="left"/>
    </w:lvl>
    <w:lvl w:ilvl="3" w:tplc="DBFE42A0">
      <w:numFmt w:val="decimal"/>
      <w:lvlText w:val=""/>
      <w:lvlJc w:val="left"/>
    </w:lvl>
    <w:lvl w:ilvl="4" w:tplc="49C2173A">
      <w:numFmt w:val="decimal"/>
      <w:lvlText w:val=""/>
      <w:lvlJc w:val="left"/>
    </w:lvl>
    <w:lvl w:ilvl="5" w:tplc="5C2C95C4">
      <w:numFmt w:val="decimal"/>
      <w:lvlText w:val=""/>
      <w:lvlJc w:val="left"/>
    </w:lvl>
    <w:lvl w:ilvl="6" w:tplc="EB141A48">
      <w:numFmt w:val="decimal"/>
      <w:lvlText w:val=""/>
      <w:lvlJc w:val="left"/>
    </w:lvl>
    <w:lvl w:ilvl="7" w:tplc="98C420A6">
      <w:numFmt w:val="decimal"/>
      <w:lvlText w:val=""/>
      <w:lvlJc w:val="left"/>
    </w:lvl>
    <w:lvl w:ilvl="8" w:tplc="F45044A6">
      <w:numFmt w:val="decimal"/>
      <w:lvlText w:val=""/>
      <w:lvlJc w:val="left"/>
    </w:lvl>
  </w:abstractNum>
  <w:abstractNum w:abstractNumId="3" w15:restartNumberingAfterBreak="0">
    <w:nsid w:val="4E432A00"/>
    <w:multiLevelType w:val="hybridMultilevel"/>
    <w:tmpl w:val="F6548EDE"/>
    <w:lvl w:ilvl="0" w:tplc="7CE6E662">
      <w:start w:val="1"/>
      <w:numFmt w:val="decimal"/>
      <w:lvlText w:val="%1."/>
      <w:lvlJc w:val="left"/>
      <w:pPr>
        <w:ind w:left="460" w:hanging="360"/>
      </w:pPr>
      <w:rPr>
        <w:b/>
        <w:bCs/>
        <w:color w:val="E5007D"/>
      </w:rPr>
    </w:lvl>
    <w:lvl w:ilvl="1" w:tplc="CC30F0C8">
      <w:numFmt w:val="decimal"/>
      <w:lvlText w:val=""/>
      <w:lvlJc w:val="left"/>
    </w:lvl>
    <w:lvl w:ilvl="2" w:tplc="E7821E4A">
      <w:numFmt w:val="decimal"/>
      <w:lvlText w:val=""/>
      <w:lvlJc w:val="left"/>
    </w:lvl>
    <w:lvl w:ilvl="3" w:tplc="459262AA">
      <w:numFmt w:val="decimal"/>
      <w:lvlText w:val=""/>
      <w:lvlJc w:val="left"/>
    </w:lvl>
    <w:lvl w:ilvl="4" w:tplc="A2587EB2">
      <w:numFmt w:val="decimal"/>
      <w:lvlText w:val=""/>
      <w:lvlJc w:val="left"/>
    </w:lvl>
    <w:lvl w:ilvl="5" w:tplc="0EE232D0">
      <w:numFmt w:val="decimal"/>
      <w:lvlText w:val=""/>
      <w:lvlJc w:val="left"/>
    </w:lvl>
    <w:lvl w:ilvl="6" w:tplc="ACFCBDDE">
      <w:numFmt w:val="decimal"/>
      <w:lvlText w:val=""/>
      <w:lvlJc w:val="left"/>
    </w:lvl>
    <w:lvl w:ilvl="7" w:tplc="665A04FC">
      <w:numFmt w:val="decimal"/>
      <w:lvlText w:val=""/>
      <w:lvlJc w:val="left"/>
    </w:lvl>
    <w:lvl w:ilvl="8" w:tplc="B7F82DF4">
      <w:numFmt w:val="decimal"/>
      <w:lvlText w:val=""/>
      <w:lvlJc w:val="left"/>
    </w:lvl>
  </w:abstractNum>
  <w:abstractNum w:abstractNumId="4" w15:restartNumberingAfterBreak="0">
    <w:nsid w:val="7EC76077"/>
    <w:multiLevelType w:val="hybridMultilevel"/>
    <w:tmpl w:val="EAD2047A"/>
    <w:lvl w:ilvl="0" w:tplc="FCD62980">
      <w:start w:val="1"/>
      <w:numFmt w:val="bullet"/>
      <w:lvlText w:val="—"/>
      <w:lvlJc w:val="left"/>
      <w:pPr>
        <w:ind w:left="460" w:hanging="260"/>
      </w:pPr>
      <w:rPr>
        <w:color w:val="E5007D"/>
      </w:rPr>
    </w:lvl>
    <w:lvl w:ilvl="1" w:tplc="6AE8DD82">
      <w:numFmt w:val="decimal"/>
      <w:lvlText w:val=""/>
      <w:lvlJc w:val="left"/>
    </w:lvl>
    <w:lvl w:ilvl="2" w:tplc="5AFABE08">
      <w:numFmt w:val="decimal"/>
      <w:lvlText w:val=""/>
      <w:lvlJc w:val="left"/>
    </w:lvl>
    <w:lvl w:ilvl="3" w:tplc="F04E84B2">
      <w:numFmt w:val="decimal"/>
      <w:lvlText w:val=""/>
      <w:lvlJc w:val="left"/>
    </w:lvl>
    <w:lvl w:ilvl="4" w:tplc="FFCE288E">
      <w:numFmt w:val="decimal"/>
      <w:lvlText w:val=""/>
      <w:lvlJc w:val="left"/>
    </w:lvl>
    <w:lvl w:ilvl="5" w:tplc="398C3A40">
      <w:numFmt w:val="decimal"/>
      <w:lvlText w:val=""/>
      <w:lvlJc w:val="left"/>
    </w:lvl>
    <w:lvl w:ilvl="6" w:tplc="0A4C62B4">
      <w:numFmt w:val="decimal"/>
      <w:lvlText w:val=""/>
      <w:lvlJc w:val="left"/>
    </w:lvl>
    <w:lvl w:ilvl="7" w:tplc="FE6046F8">
      <w:numFmt w:val="decimal"/>
      <w:lvlText w:val=""/>
      <w:lvlJc w:val="left"/>
    </w:lvl>
    <w:lvl w:ilvl="8" w:tplc="F56823C6">
      <w:numFmt w:val="decimal"/>
      <w:lvlText w:val=""/>
      <w:lvlJc w:val="left"/>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9864763">
    <w:abstractNumId w:val="1"/>
    <w:lvlOverride w:ilvl="0">
      <w:startOverride w:val="1"/>
    </w:lvlOverride>
  </w:num>
  <w:num w:numId="2" w16cid:durableId="16783293">
    <w:abstractNumId w:val="3"/>
    <w:lvlOverride w:ilvl="0">
      <w:startOverride w:val="1"/>
    </w:lvlOverride>
  </w:num>
  <w:num w:numId="3" w16cid:durableId="1576040628">
    <w:abstractNumId w:val="0"/>
    <w:lvlOverride w:ilvl="0">
      <w:startOverride w:val="1"/>
    </w:lvlOverride>
  </w:num>
  <w:num w:numId="4" w16cid:durableId="113134628">
    <w:abstractNumId w:val="4"/>
    <w:lvlOverride w:ilvl="0">
      <w:startOverride w:val="1"/>
    </w:lvlOverride>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5EE"/>
    <w:rsid w:val="000A11A4"/>
    <w:rsid w:val="005B61FD"/>
    <w:rsid w:val="00C815EE"/>
    <w:rsid w:val="00CA3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8742"/>
  <w15:docId w15:val="{26F81432-B4DB-4081-A1F2-6FF65D9D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05 Stakeholderanalyse</dc:title>
  <dc:creator>Minor Circulaire Economie - HAN</dc:creator>
  <cp:lastModifiedBy>Fabian Berndsen</cp:lastModifiedBy>
  <cp:revision>2</cp:revision>
  <dcterms:created xsi:type="dcterms:W3CDTF">2026-06-08T10:17:00Z</dcterms:created>
  <dcterms:modified xsi:type="dcterms:W3CDTF">2026-06-08T10:17:00Z</dcterms:modified>
</cp:coreProperties>
</file>