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27ef95164b14ab596d16a8c30a953a3027ef687"/>
    <w:p>
      <w:pPr>
        <w:pStyle w:val="Heading1"/>
      </w:pPr>
      <w:r>
        <w:t xml:space="preserve">Midstake – Format, Didactische Logica &amp; Begeleidingskader</w:t>
      </w:r>
    </w:p>
    <w:bookmarkStart w:id="20" w:name="minor-circulaire-economie"/>
    <w:p>
      <w:pPr>
        <w:pStyle w:val="Heading2"/>
      </w:pPr>
      <w:r>
        <w:t xml:space="preserve">Minor Circulaire Economie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midstake"/>
    <w:p>
      <w:pPr>
        <w:pStyle w:val="Heading1"/>
      </w:pPr>
      <w:r>
        <w:t xml:space="preserve">Midstake</w:t>
      </w:r>
    </w:p>
    <w:bookmarkStart w:id="22" w:name="Xcfcee98369bd72b07ff0788341463aee0fa688d"/>
    <w:p>
      <w:pPr>
        <w:pStyle w:val="Heading2"/>
      </w:pPr>
      <w:r>
        <w:t xml:space="preserve">Docenthandleiding – Minor Circulaire Economie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doel-van-de-midstake"/>
    <w:p>
      <w:pPr>
        <w:pStyle w:val="Heading1"/>
      </w:pPr>
      <w:r>
        <w:t xml:space="preserve">Doel van de midstake</w:t>
      </w:r>
    </w:p>
    <w:p>
      <w:pPr>
        <w:pStyle w:val="FirstParagraph"/>
      </w:pPr>
      <w:r>
        <w:t xml:space="preserve">De midstake is een inhoudelijk feedback- en versnellingsmoment binnen het semester.</w:t>
      </w:r>
    </w:p>
    <w:p>
      <w:pPr>
        <w:pStyle w:val="BodyText"/>
      </w:pPr>
      <w:r>
        <w:t xml:space="preserve">Studenten presenteren:</w:t>
      </w:r>
    </w:p>
    <w:p>
      <w:pPr>
        <w:pStyle w:val="Compact"/>
        <w:numPr>
          <w:ilvl w:val="0"/>
          <w:numId w:val="1001"/>
        </w:numPr>
      </w:pPr>
      <w:r>
        <w:t xml:space="preserve">hun inzichten,</w:t>
      </w:r>
    </w:p>
    <w:p>
      <w:pPr>
        <w:pStyle w:val="Compact"/>
        <w:numPr>
          <w:ilvl w:val="0"/>
          <w:numId w:val="1001"/>
        </w:numPr>
      </w:pPr>
      <w:r>
        <w:t xml:space="preserve">gemaakte keuzes,</w:t>
      </w:r>
    </w:p>
    <w:p>
      <w:pPr>
        <w:pStyle w:val="Compact"/>
        <w:numPr>
          <w:ilvl w:val="0"/>
          <w:numId w:val="1001"/>
        </w:numPr>
      </w:pPr>
      <w:r>
        <w:t xml:space="preserve">onderzoeksbasis,</w:t>
      </w:r>
    </w:p>
    <w:p>
      <w:pPr>
        <w:pStyle w:val="Compact"/>
        <w:numPr>
          <w:ilvl w:val="0"/>
          <w:numId w:val="1001"/>
        </w:numPr>
      </w:pPr>
      <w:r>
        <w:t xml:space="preserve">en beroepsproducten in wording.</w:t>
      </w:r>
    </w:p>
    <w:p>
      <w:pPr>
        <w:pStyle w:val="FirstParagraph"/>
      </w:pPr>
      <w:r>
        <w:t xml:space="preserve">De nadruk ligt op:</w:t>
      </w:r>
    </w:p>
    <w:p>
      <w:pPr>
        <w:pStyle w:val="Compact"/>
        <w:numPr>
          <w:ilvl w:val="0"/>
          <w:numId w:val="1002"/>
        </w:numPr>
      </w:pPr>
      <w:r>
        <w:t xml:space="preserve">richting aanscherpen,</w:t>
      </w:r>
    </w:p>
    <w:p>
      <w:pPr>
        <w:pStyle w:val="Compact"/>
        <w:numPr>
          <w:ilvl w:val="0"/>
          <w:numId w:val="1002"/>
        </w:numPr>
      </w:pPr>
      <w:r>
        <w:t xml:space="preserve">keuzes expliciteren,</w:t>
      </w:r>
    </w:p>
    <w:p>
      <w:pPr>
        <w:pStyle w:val="Compact"/>
        <w:numPr>
          <w:ilvl w:val="0"/>
          <w:numId w:val="1002"/>
        </w:numPr>
      </w:pPr>
      <w:r>
        <w:t xml:space="preserve">conceptvorming versterken,</w:t>
      </w:r>
    </w:p>
    <w:p>
      <w:pPr>
        <w:pStyle w:val="Compact"/>
        <w:numPr>
          <w:ilvl w:val="0"/>
          <w:numId w:val="1002"/>
        </w:numPr>
      </w:pPr>
      <w:r>
        <w:t xml:space="preserve">en concrete vervolgstappen bepalen.</w:t>
      </w:r>
    </w:p>
    <w:p>
      <w:pPr>
        <w:pStyle w:val="FirstParagraph"/>
      </w:pPr>
      <w:r>
        <w:t xml:space="preserve">Na de midstake moet iedere groep:</w:t>
      </w:r>
    </w:p>
    <w:p>
      <w:pPr>
        <w:pStyle w:val="Compact"/>
        <w:numPr>
          <w:ilvl w:val="0"/>
          <w:numId w:val="1003"/>
        </w:numPr>
      </w:pPr>
      <w:r>
        <w:t xml:space="preserve">scherper weten waar zij naartoe werken,</w:t>
      </w:r>
    </w:p>
    <w:p>
      <w:pPr>
        <w:pStyle w:val="Compact"/>
        <w:numPr>
          <w:ilvl w:val="0"/>
          <w:numId w:val="1003"/>
        </w:numPr>
      </w:pPr>
      <w:r>
        <w:t xml:space="preserve">duidelijkere prioriteiten hebben,</w:t>
      </w:r>
    </w:p>
    <w:p>
      <w:pPr>
        <w:pStyle w:val="Compact"/>
        <w:numPr>
          <w:ilvl w:val="0"/>
          <w:numId w:val="1003"/>
        </w:numPr>
      </w:pPr>
      <w:r>
        <w:t xml:space="preserve">en concreet verder kunnen ontwikkelen.</w:t>
      </w:r>
    </w:p>
    <w:p>
      <w:r>
        <w:pict>
          <v:rect style="width:0;height:1.5pt" o:hralign="center" o:hrstd="t" o:hr="t"/>
        </w:pict>
      </w:r>
    </w:p>
    <w:bookmarkEnd w:id="24"/>
    <w:bookmarkStart w:id="25" w:name="positionering-binnen-het-semester"/>
    <w:p>
      <w:pPr>
        <w:pStyle w:val="Heading1"/>
      </w:pPr>
      <w:r>
        <w:t xml:space="preserve">Positionering binnen het semester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Periode</w:t>
            </w:r>
          </w:p>
        </w:tc>
        <w:tc>
          <w:tcPr/>
          <w:p>
            <w:pPr>
              <w:pStyle w:val="Compact"/>
            </w:pPr>
            <w:r>
              <w:t xml:space="preserve">Dominante 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1–4</w:t>
            </w:r>
          </w:p>
        </w:tc>
        <w:tc>
          <w:tcPr/>
          <w:p>
            <w:pPr>
              <w:pStyle w:val="Compact"/>
            </w:pPr>
            <w:r>
              <w:t xml:space="preserve">Empathize / Define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5–8</w:t>
            </w:r>
          </w:p>
        </w:tc>
        <w:tc>
          <w:tcPr/>
          <w:p>
            <w:pPr>
              <w:pStyle w:val="Compact"/>
            </w:pPr>
            <w:r>
              <w:t xml:space="preserve">Ideation / Conceptontwikkeling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Laatste fase</w:t>
            </w:r>
          </w:p>
        </w:tc>
        <w:tc>
          <w:tcPr/>
          <w:p>
            <w:pPr>
              <w:pStyle w:val="Compact"/>
            </w:pPr>
            <w:r>
              <w:t xml:space="preserve">Validatie, concretisering en uitvoering</w:t>
            </w:r>
          </w:p>
        </w:tc>
      </w:tr>
    </w:tbl>
    <w:p>
      <w:pPr>
        <w:pStyle w:val="BodyText"/>
      </w:pPr>
      <w:r>
        <w:t xml:space="preserve">Belangrijk:</w:t>
      </w:r>
      <w:r>
        <w:t xml:space="preserve"> </w:t>
      </w:r>
      <w:r>
        <w:t xml:space="preserve">Binnen de minor verlopen deze fases niet lineair.</w:t>
      </w:r>
    </w:p>
    <w:p>
      <w:pPr>
        <w:pStyle w:val="BodyText"/>
      </w:pPr>
      <w:r>
        <w:t xml:space="preserve">Onderzoek, ideation, testen en maken lopen parallel.</w:t>
      </w:r>
      <w:r>
        <w:t xml:space="preserve"> </w:t>
      </w:r>
      <w:r>
        <w:t xml:space="preserve">Studenten werken vanaf de eerste weken al aan:</w:t>
      </w:r>
    </w:p>
    <w:p>
      <w:pPr>
        <w:pStyle w:val="Compact"/>
        <w:numPr>
          <w:ilvl w:val="0"/>
          <w:numId w:val="1004"/>
        </w:numPr>
      </w:pPr>
      <w:r>
        <w:t xml:space="preserve">conceptvorming,</w:t>
      </w:r>
    </w:p>
    <w:p>
      <w:pPr>
        <w:pStyle w:val="Compact"/>
        <w:numPr>
          <w:ilvl w:val="0"/>
          <w:numId w:val="1004"/>
        </w:numPr>
      </w:pPr>
      <w:r>
        <w:t xml:space="preserve">prototypes,</w:t>
      </w:r>
    </w:p>
    <w:p>
      <w:pPr>
        <w:pStyle w:val="Compact"/>
        <w:numPr>
          <w:ilvl w:val="0"/>
          <w:numId w:val="1004"/>
        </w:numPr>
      </w:pPr>
      <w:r>
        <w:t xml:space="preserve">experimenten,</w:t>
      </w:r>
    </w:p>
    <w:p>
      <w:pPr>
        <w:pStyle w:val="Compact"/>
        <w:numPr>
          <w:ilvl w:val="0"/>
          <w:numId w:val="1004"/>
        </w:numPr>
      </w:pPr>
      <w:r>
        <w:t xml:space="preserve">en beroepsproducten in wording.</w:t>
      </w:r>
    </w:p>
    <w:p>
      <w:pPr>
        <w:pStyle w:val="FirstParagraph"/>
      </w:pPr>
      <w:r>
        <w:t xml:space="preserve">Rond de midstake wordt verwacht dat:</w:t>
      </w:r>
    </w:p>
    <w:p>
      <w:pPr>
        <w:pStyle w:val="Compact"/>
        <w:numPr>
          <w:ilvl w:val="0"/>
          <w:numId w:val="1005"/>
        </w:numPr>
      </w:pPr>
      <w:r>
        <w:t xml:space="preserve">het grootste deel van de onderzoeksfase is afgerond,</w:t>
      </w:r>
    </w:p>
    <w:p>
      <w:pPr>
        <w:pStyle w:val="Compact"/>
        <w:numPr>
          <w:ilvl w:val="0"/>
          <w:numId w:val="1005"/>
        </w:numPr>
      </w:pPr>
      <w:r>
        <w:t xml:space="preserve">define voldoende scherp is,</w:t>
      </w:r>
    </w:p>
    <w:p>
      <w:pPr>
        <w:pStyle w:val="Compact"/>
        <w:numPr>
          <w:ilvl w:val="0"/>
          <w:numId w:val="1005"/>
        </w:numPr>
      </w:pPr>
      <w:r>
        <w:t xml:space="preserve">en conceptvorming al serieus ontwikkeld is.</w:t>
      </w:r>
    </w:p>
    <w:p>
      <w:r>
        <w:pict>
          <v:rect style="width:0;height:1.5pt" o:hralign="center" o:hrstd="t" o:hr="t"/>
        </w:pict>
      </w:r>
    </w:p>
    <w:bookmarkEnd w:id="25"/>
    <w:bookmarkStart w:id="26" w:name="X44b248cb248dbb2bcbaba77666661e123aeeb13"/>
    <w:p>
      <w:pPr>
        <w:pStyle w:val="Heading1"/>
      </w:pPr>
      <w:r>
        <w:t xml:space="preserve">Wat moet zichtbaar zijn tijdens de midstake?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Onderdeel</w:t>
            </w:r>
          </w:p>
        </w:tc>
        <w:tc>
          <w:tcPr/>
          <w:p>
            <w:pPr>
              <w:pStyle w:val="Compact"/>
            </w:pPr>
            <w:r>
              <w:t xml:space="preserve">Wat moet zichtbaar zijn?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Onderzoek &amp; analyse</w:t>
            </w:r>
          </w:p>
        </w:tc>
        <w:tc>
          <w:tcPr/>
          <w:p>
            <w:pPr>
              <w:pStyle w:val="Compact"/>
            </w:pPr>
            <w:r>
              <w:t xml:space="preserve">Stakeholderbegrip, patronen, spanningen, inzichten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Probleemdefinitie</w:t>
            </w:r>
          </w:p>
        </w:tc>
        <w:tc>
          <w:tcPr/>
          <w:p>
            <w:pPr>
              <w:pStyle w:val="Compact"/>
            </w:pPr>
            <w:r>
              <w:t xml:space="preserve">Scherpe keuzes en duidelijke richting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Conceptvorming</w:t>
            </w:r>
          </w:p>
        </w:tc>
        <w:tc>
          <w:tcPr/>
          <w:p>
            <w:pPr>
              <w:pStyle w:val="Compact"/>
            </w:pPr>
            <w:r>
              <w:t xml:space="preserve">Concrete beroepsproducten in wording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Ontwikkelproces</w:t>
            </w:r>
          </w:p>
        </w:tc>
        <w:tc>
          <w:tcPr/>
          <w:p>
            <w:pPr>
              <w:pStyle w:val="Compact"/>
            </w:pPr>
            <w:r>
              <w:t xml:space="preserve">Iteratie, testen en zichtbare ontwikkeling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Professionele houding</w:t>
            </w:r>
          </w:p>
        </w:tc>
        <w:tc>
          <w:tcPr/>
          <w:p>
            <w:pPr>
              <w:pStyle w:val="Compact"/>
            </w:pPr>
            <w:r>
              <w:t xml:space="preserve">Eigenaarschap, autonomie en onderbouwing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X0f5f3b650cfabf180daac6f182a37ed9f21d136"/>
    <w:p>
      <w:pPr>
        <w:pStyle w:val="Heading1"/>
      </w:pPr>
      <w:r>
        <w:t xml:space="preserve">Voorbeelden van beroepsproducten in wording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Mogelijke uitwerkingen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Mock-ups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Wireframes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Eerste websites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Storyboards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Serviceconcepten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Experimenten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Interventies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Visualisaties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Eerste validaties</w:t>
            </w:r>
          </w:p>
        </w:tc>
      </w:tr>
    </w:tbl>
    <w:p>
      <w:pPr>
        <w:pStyle w:val="BodyText"/>
      </w:pPr>
      <w:r>
        <w:t xml:space="preserve">Belangrijk:</w:t>
      </w:r>
      <w:r>
        <w:t xml:space="preserve"> </w:t>
      </w:r>
      <w:r>
        <w:t xml:space="preserve">De kwaliteit zit niet alleen in hoe uitgewerkt iets is.</w:t>
      </w:r>
    </w:p>
    <w:p>
      <w:pPr>
        <w:pStyle w:val="BodyText"/>
      </w:pPr>
      <w:r>
        <w:t xml:space="preserve">De kwaliteit zit vooral in:</w:t>
      </w:r>
    </w:p>
    <w:p>
      <w:pPr>
        <w:pStyle w:val="Compact"/>
        <w:numPr>
          <w:ilvl w:val="0"/>
          <w:numId w:val="1006"/>
        </w:numPr>
      </w:pPr>
      <w:r>
        <w:t xml:space="preserve">de koppeling met inzichten,</w:t>
      </w:r>
    </w:p>
    <w:p>
      <w:pPr>
        <w:pStyle w:val="Compact"/>
        <w:numPr>
          <w:ilvl w:val="0"/>
          <w:numId w:val="1006"/>
        </w:numPr>
      </w:pPr>
      <w:r>
        <w:t xml:space="preserve">de gemaakte keuzes,</w:t>
      </w:r>
    </w:p>
    <w:p>
      <w:pPr>
        <w:pStyle w:val="Compact"/>
        <w:numPr>
          <w:ilvl w:val="0"/>
          <w:numId w:val="1006"/>
        </w:numPr>
      </w:pPr>
      <w:r>
        <w:t xml:space="preserve">de onderbouwing,</w:t>
      </w:r>
    </w:p>
    <w:p>
      <w:pPr>
        <w:pStyle w:val="Compact"/>
        <w:numPr>
          <w:ilvl w:val="0"/>
          <w:numId w:val="1006"/>
        </w:numPr>
      </w:pPr>
      <w:r>
        <w:t xml:space="preserve">en de ontwikkelrichting.</w:t>
      </w:r>
    </w:p>
    <w:p>
      <w:r>
        <w:pict>
          <v:rect style="width:0;height:1.5pt" o:hralign="center" o:hrstd="t" o:hr="t"/>
        </w:pict>
      </w:r>
    </w:p>
    <w:bookmarkEnd w:id="27"/>
    <w:bookmarkStart w:id="28" w:name="rol-van-opdrachtgevers-en-docenten"/>
    <w:p>
      <w:pPr>
        <w:pStyle w:val="Heading1"/>
      </w:pPr>
      <w:r>
        <w:t xml:space="preserve">Rol van opdrachtgevers en docenten</w:t>
      </w:r>
    </w:p>
    <w:p>
      <w:pPr>
        <w:pStyle w:val="FirstParagraph"/>
      </w:pPr>
      <w:r>
        <w:t xml:space="preserve">Tijdens de midstake presenteren studenten hun werk aan:</w:t>
      </w:r>
    </w:p>
    <w:p>
      <w:pPr>
        <w:pStyle w:val="Compact"/>
        <w:numPr>
          <w:ilvl w:val="0"/>
          <w:numId w:val="1007"/>
        </w:numPr>
      </w:pPr>
      <w:r>
        <w:t xml:space="preserve">opdrachtgevers</w:t>
      </w:r>
    </w:p>
    <w:p>
      <w:pPr>
        <w:pStyle w:val="Compact"/>
        <w:numPr>
          <w:ilvl w:val="0"/>
          <w:numId w:val="1007"/>
        </w:numPr>
      </w:pPr>
      <w:r>
        <w:t xml:space="preserve">en docenten.</w:t>
      </w:r>
    </w:p>
    <w:p>
      <w:pPr>
        <w:pStyle w:val="FirstParagraph"/>
      </w:pPr>
      <w:r>
        <w:t xml:space="preserve">De midstake draait sterk om inhoudelijke dialoog.</w:t>
      </w:r>
    </w:p>
    <w:p>
      <w:pPr>
        <w:pStyle w:val="BodyText"/>
      </w:pPr>
      <w:r>
        <w:t xml:space="preserve">De rol van docenten en opdrachtgevers is:</w:t>
      </w:r>
    </w:p>
    <w:p>
      <w:pPr>
        <w:pStyle w:val="Compact"/>
        <w:numPr>
          <w:ilvl w:val="0"/>
          <w:numId w:val="1008"/>
        </w:numPr>
      </w:pPr>
      <w:r>
        <w:t xml:space="preserve">richting aanscherpen,</w:t>
      </w:r>
    </w:p>
    <w:p>
      <w:pPr>
        <w:pStyle w:val="Compact"/>
        <w:numPr>
          <w:ilvl w:val="0"/>
          <w:numId w:val="1008"/>
        </w:numPr>
      </w:pPr>
      <w:r>
        <w:t xml:space="preserve">keuzes bevragen,</w:t>
      </w:r>
    </w:p>
    <w:p>
      <w:pPr>
        <w:pStyle w:val="Compact"/>
        <w:numPr>
          <w:ilvl w:val="0"/>
          <w:numId w:val="1008"/>
        </w:numPr>
      </w:pPr>
      <w:r>
        <w:t xml:space="preserve">conceptvorming versterken,</w:t>
      </w:r>
    </w:p>
    <w:p>
      <w:pPr>
        <w:pStyle w:val="Compact"/>
        <w:numPr>
          <w:ilvl w:val="0"/>
          <w:numId w:val="1008"/>
        </w:numPr>
      </w:pPr>
      <w:r>
        <w:t xml:space="preserve">en studenten actief verder helpen.</w:t>
      </w:r>
    </w:p>
    <w:p>
      <w:r>
        <w:pict>
          <v:rect style="width:0;height:1.5pt" o:hralign="center" o:hrstd="t" o:hr="t"/>
        </w:pict>
      </w:r>
    </w:p>
    <w:bookmarkEnd w:id="28"/>
    <w:bookmarkStart w:id="31" w:name="goede-feedbackvragen"/>
    <w:p>
      <w:pPr>
        <w:pStyle w:val="Heading1"/>
      </w:pPr>
      <w:r>
        <w:t xml:space="preserve">Goede feedbackvragen</w:t>
      </w:r>
    </w:p>
    <w:p>
      <w:pPr>
        <w:pStyle w:val="FirstParagraph"/>
      </w:pPr>
      <w:r>
        <w:t xml:space="preserve">De vragen tijdens de midstake moeten studenten helpen:</w:t>
      </w:r>
    </w:p>
    <w:p>
      <w:pPr>
        <w:pStyle w:val="Compact"/>
        <w:numPr>
          <w:ilvl w:val="0"/>
          <w:numId w:val="1009"/>
        </w:numPr>
      </w:pPr>
      <w:r>
        <w:t xml:space="preserve">scherper kiezen,</w:t>
      </w:r>
    </w:p>
    <w:p>
      <w:pPr>
        <w:pStyle w:val="Compact"/>
        <w:numPr>
          <w:ilvl w:val="0"/>
          <w:numId w:val="1009"/>
        </w:numPr>
      </w:pPr>
      <w:r>
        <w:t xml:space="preserve">sneller concretiseren,</w:t>
      </w:r>
    </w:p>
    <w:p>
      <w:pPr>
        <w:pStyle w:val="Compact"/>
        <w:numPr>
          <w:ilvl w:val="0"/>
          <w:numId w:val="1009"/>
        </w:numPr>
      </w:pPr>
      <w:r>
        <w:t xml:space="preserve">onderliggende aannames herkennen,</w:t>
      </w:r>
    </w:p>
    <w:p>
      <w:pPr>
        <w:pStyle w:val="Compact"/>
        <w:numPr>
          <w:ilvl w:val="0"/>
          <w:numId w:val="1009"/>
        </w:numPr>
      </w:pPr>
      <w:r>
        <w:t xml:space="preserve">en actief verder ontwikkelen.</w:t>
      </w:r>
    </w:p>
    <w:p>
      <w:pPr>
        <w:pStyle w:val="FirstParagraph"/>
      </w:pPr>
      <w:r>
        <w:t xml:space="preserve">De nadruk ligt daarom minder op:</w:t>
      </w:r>
    </w:p>
    <w:p>
      <w:pPr>
        <w:pStyle w:val="Compact"/>
        <w:numPr>
          <w:ilvl w:val="0"/>
          <w:numId w:val="1010"/>
        </w:numPr>
      </w:pPr>
      <w:r>
        <w:t xml:space="preserve">uitleg laten herhalen,</w:t>
      </w:r>
    </w:p>
    <w:p>
      <w:pPr>
        <w:pStyle w:val="Compact"/>
        <w:numPr>
          <w:ilvl w:val="0"/>
          <w:numId w:val="1010"/>
        </w:numPr>
      </w:pPr>
      <w:r>
        <w:t xml:space="preserve">of samenvatten wat studenten al verteld hebben.</w:t>
      </w:r>
    </w:p>
    <w:p>
      <w:pPr>
        <w:pStyle w:val="FirstParagraph"/>
      </w:pPr>
      <w:r>
        <w:t xml:space="preserve">En meer op:</w:t>
      </w:r>
    </w:p>
    <w:p>
      <w:pPr>
        <w:pStyle w:val="Compact"/>
        <w:numPr>
          <w:ilvl w:val="0"/>
          <w:numId w:val="1011"/>
        </w:numPr>
      </w:pPr>
      <w:r>
        <w:t xml:space="preserve">richting aanscherpen,</w:t>
      </w:r>
    </w:p>
    <w:p>
      <w:pPr>
        <w:pStyle w:val="Compact"/>
        <w:numPr>
          <w:ilvl w:val="0"/>
          <w:numId w:val="1011"/>
        </w:numPr>
      </w:pPr>
      <w:r>
        <w:t xml:space="preserve">kwaliteit verhogen,</w:t>
      </w:r>
    </w:p>
    <w:p>
      <w:pPr>
        <w:pStyle w:val="Compact"/>
        <w:numPr>
          <w:ilvl w:val="0"/>
          <w:numId w:val="1011"/>
        </w:numPr>
      </w:pPr>
      <w:r>
        <w:t xml:space="preserve">en ontwikkeling versnellen.</w:t>
      </w:r>
    </w:p>
    <w:p>
      <w:r>
        <w:pict>
          <v:rect style="width:0;height:1.5pt" o:hralign="center" o:hrstd="t" o:hr="t"/>
        </w:pict>
      </w:r>
    </w:p>
    <w:bookmarkStart w:id="29" w:name="onderzoek-richting"/>
    <w:p>
      <w:pPr>
        <w:pStyle w:val="Heading2"/>
      </w:pPr>
      <w:r>
        <w:t xml:space="preserve">Onderzoek &amp; richting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Sterke vragen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Richting</w:t>
            </w:r>
          </w:p>
        </w:tc>
        <w:tc>
          <w:tcPr/>
          <w:p>
            <w:pPr>
              <w:pStyle w:val="Compact"/>
            </w:pPr>
            <w:r>
              <w:t xml:space="preserve">Waar zit volgens jullie nu de grootste kans om daadwerkelijk impact te maken?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Waardecreatie</w:t>
            </w:r>
          </w:p>
        </w:tc>
        <w:tc>
          <w:tcPr/>
          <w:p>
            <w:pPr>
              <w:pStyle w:val="Compact"/>
            </w:pPr>
            <w:r>
              <w:t xml:space="preserve">Waar zit volgens jullie de meeste waarde voor de opdrachtgever? Zien jullie nog meer kansen om waarde toe te voegen?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Diepgang</w:t>
            </w:r>
          </w:p>
        </w:tc>
        <w:tc>
          <w:tcPr/>
          <w:p>
            <w:pPr>
              <w:pStyle w:val="Compact"/>
            </w:pPr>
            <w:r>
              <w:t xml:space="preserve">Welk onderdeel begrijpen jullie eigenlijk nog onvoldoende?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Keuzes</w:t>
            </w:r>
          </w:p>
        </w:tc>
        <w:tc>
          <w:tcPr/>
          <w:p>
            <w:pPr>
              <w:pStyle w:val="Compact"/>
            </w:pPr>
            <w:r>
              <w:t xml:space="preserve">Welke keuze moeten jullie nu eigenlijk durven maken?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Prioriteit</w:t>
            </w:r>
          </w:p>
        </w:tc>
        <w:tc>
          <w:tcPr/>
          <w:p>
            <w:pPr>
              <w:pStyle w:val="Compact"/>
            </w:pPr>
            <w:r>
              <w:t xml:space="preserve">Waar zou nu 80% van jullie energie naartoe moeten gaan?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Blinde vlekken</w:t>
            </w:r>
          </w:p>
        </w:tc>
        <w:tc>
          <w:tcPr/>
          <w:p>
            <w:pPr>
              <w:pStyle w:val="Compact"/>
            </w:pPr>
            <w:r>
              <w:t xml:space="preserve">Wat negeren jullie momenteel nog omdat het lastig is?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conceptvorming-ontwikkeling"/>
    <w:p>
      <w:pPr>
        <w:pStyle w:val="Heading2"/>
      </w:pPr>
      <w:r>
        <w:t xml:space="preserve">Conceptvorming &amp; ontwikkeling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Sterke vragen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Concretisering</w:t>
            </w:r>
          </w:p>
        </w:tc>
        <w:tc>
          <w:tcPr/>
          <w:p>
            <w:pPr>
              <w:pStyle w:val="Compact"/>
            </w:pPr>
            <w:r>
              <w:t xml:space="preserve">Wat moet nu concreet verder ontwikkeld worden?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Validatie</w:t>
            </w:r>
          </w:p>
        </w:tc>
        <w:tc>
          <w:tcPr/>
          <w:p>
            <w:pPr>
              <w:pStyle w:val="Compact"/>
            </w:pPr>
            <w:r>
              <w:t xml:space="preserve">Welke aanname moet zo snel mogelijk getest worden?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Waarde</w:t>
            </w:r>
          </w:p>
        </w:tc>
        <w:tc>
          <w:tcPr/>
          <w:p>
            <w:pPr>
              <w:pStyle w:val="Compact"/>
            </w:pPr>
            <w:r>
              <w:t xml:space="preserve">Waarom zou iemand dit daadwerkelijk gaan gebruiken of willen?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Lef</w:t>
            </w:r>
          </w:p>
        </w:tc>
        <w:tc>
          <w:tcPr/>
          <w:p>
            <w:pPr>
              <w:pStyle w:val="Compact"/>
            </w:pPr>
            <w:r>
              <w:t xml:space="preserve">Waar is het concept nog te veilig of voorspelbaar?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Welke onderdelen voegen nu eigenlijk weinig waarde toe?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Ontwikkeling</w:t>
            </w:r>
          </w:p>
        </w:tc>
        <w:tc>
          <w:tcPr/>
          <w:p>
            <w:pPr>
              <w:pStyle w:val="Compact"/>
            </w:pPr>
            <w:r>
              <w:t xml:space="preserve">Wat moet er over twee weken zichtbaar beter of sterker zijn?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Realisme</w:t>
            </w:r>
          </w:p>
        </w:tc>
        <w:tc>
          <w:tcPr/>
          <w:p>
            <w:pPr>
              <w:pStyle w:val="Compact"/>
            </w:pPr>
            <w:r>
              <w:t xml:space="preserve">Wat maakt dit uitvoerbaar binnen de context van de opdrachtgever?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X7d2e30a776243fe4c052b93d2b8020ae3729214"/>
    <w:p>
      <w:pPr>
        <w:pStyle w:val="Heading1"/>
      </w:pPr>
      <w:r>
        <w:t xml:space="preserve">Belangrijke aandachtspunten voor docenten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Let op</w:t>
            </w:r>
          </w:p>
        </w:tc>
        <w:tc>
          <w:tcPr/>
          <w:p>
            <w:pPr>
              <w:pStyle w:val="Compact"/>
            </w:pPr>
            <w:r>
              <w:t xml:space="preserve">Signaal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Oppervlakkig onderzoek</w:t>
            </w:r>
          </w:p>
        </w:tc>
        <w:tc>
          <w:tcPr/>
          <w:p>
            <w:pPr>
              <w:pStyle w:val="Compact"/>
            </w:pPr>
            <w:r>
              <w:t xml:space="preserve">Veel informatie, weinig analyse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Concepten zonder basis</w:t>
            </w:r>
          </w:p>
        </w:tc>
        <w:tc>
          <w:tcPr/>
          <w:p>
            <w:pPr>
              <w:pStyle w:val="Compact"/>
            </w:pPr>
            <w:r>
              <w:t xml:space="preserve">Ideeën zonder sterke inzichten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Schijnvoortgang</w:t>
            </w:r>
          </w:p>
        </w:tc>
        <w:tc>
          <w:tcPr/>
          <w:p>
            <w:pPr>
              <w:pStyle w:val="Compact"/>
            </w:pPr>
            <w:r>
              <w:t xml:space="preserve">Veel output, weinig echte keuzes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 vrijblijvende concepten</w:t>
            </w:r>
          </w:p>
        </w:tc>
        <w:tc>
          <w:tcPr/>
          <w:p>
            <w:pPr>
              <w:pStyle w:val="Compact"/>
            </w:pPr>
            <w:r>
              <w:t xml:space="preserve">Richtingen blijven abstract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Oplossingsfixatie</w:t>
            </w:r>
          </w:p>
        </w:tc>
        <w:tc>
          <w:tcPr/>
          <w:p>
            <w:pPr>
              <w:pStyle w:val="Compact"/>
            </w:pPr>
            <w:r>
              <w:t xml:space="preserve">Eén idee verdedigen zonder reflectie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didactische-essentie"/>
    <w:p>
      <w:pPr>
        <w:pStyle w:val="Heading1"/>
      </w:pPr>
      <w:r>
        <w:t xml:space="preserve">Didactische essentie</w:t>
      </w:r>
    </w:p>
    <w:p>
      <w:pPr>
        <w:pStyle w:val="FirstParagraph"/>
      </w:pPr>
      <w:r>
        <w:t xml:space="preserve">De midstake is vooral bedoeld als:</w:t>
      </w:r>
    </w:p>
    <w:p>
      <w:pPr>
        <w:pStyle w:val="BlockText"/>
      </w:pPr>
      <w:r>
        <w:t xml:space="preserve">inhoudelijk aanscherp- en versnellingsmoment.</w:t>
      </w:r>
    </w:p>
    <w:p>
      <w:pPr>
        <w:pStyle w:val="FirstParagraph"/>
      </w:pPr>
      <w:r>
        <w:t xml:space="preserve">Studenten moeten na de midstake:</w:t>
      </w:r>
    </w:p>
    <w:p>
      <w:pPr>
        <w:pStyle w:val="Compact"/>
        <w:numPr>
          <w:ilvl w:val="0"/>
          <w:numId w:val="1012"/>
        </w:numPr>
      </w:pPr>
      <w:r>
        <w:t xml:space="preserve">scherpere keuzes hebben,</w:t>
      </w:r>
    </w:p>
    <w:p>
      <w:pPr>
        <w:pStyle w:val="Compact"/>
        <w:numPr>
          <w:ilvl w:val="0"/>
          <w:numId w:val="1012"/>
        </w:numPr>
      </w:pPr>
      <w:r>
        <w:t xml:space="preserve">duidelijkere richting voelen,</w:t>
      </w:r>
    </w:p>
    <w:p>
      <w:pPr>
        <w:pStyle w:val="Compact"/>
        <w:numPr>
          <w:ilvl w:val="0"/>
          <w:numId w:val="1012"/>
        </w:numPr>
      </w:pPr>
      <w:r>
        <w:t xml:space="preserve">concretere vervolgstappen zien,</w:t>
      </w:r>
    </w:p>
    <w:p>
      <w:pPr>
        <w:pStyle w:val="Compact"/>
        <w:numPr>
          <w:ilvl w:val="0"/>
          <w:numId w:val="1012"/>
        </w:numPr>
      </w:pPr>
      <w:r>
        <w:t xml:space="preserve">en sterker kunnen doorontwikkelen richting uitvoering.</w:t>
      </w:r>
    </w:p>
    <w:p>
      <w:pPr>
        <w:pStyle w:val="FirstParagraph"/>
      </w:pPr>
      <w:r>
        <w:t xml:space="preserve">De midstake is het moment waarop zichtbaar moet worden dat studenten:</w:t>
      </w:r>
    </w:p>
    <w:p>
      <w:pPr>
        <w:pStyle w:val="Compact"/>
        <w:numPr>
          <w:ilvl w:val="0"/>
          <w:numId w:val="1013"/>
        </w:numPr>
      </w:pPr>
      <w:r>
        <w:t xml:space="preserve">hun onderzoeksfase serieus hebben doorlopen,</w:t>
      </w:r>
    </w:p>
    <w:p>
      <w:pPr>
        <w:pStyle w:val="Compact"/>
        <w:numPr>
          <w:ilvl w:val="0"/>
          <w:numId w:val="1013"/>
        </w:numPr>
      </w:pPr>
      <w:r>
        <w:t xml:space="preserve">betekenisvolle inzichten ontwikkeld hebben,</w:t>
      </w:r>
    </w:p>
    <w:p>
      <w:pPr>
        <w:pStyle w:val="Compact"/>
        <w:numPr>
          <w:ilvl w:val="0"/>
          <w:numId w:val="1013"/>
        </w:numPr>
      </w:pPr>
      <w:r>
        <w:t xml:space="preserve">duidelijke keuzes durven maken,</w:t>
      </w:r>
    </w:p>
    <w:p>
      <w:pPr>
        <w:pStyle w:val="Compact"/>
        <w:numPr>
          <w:ilvl w:val="0"/>
          <w:numId w:val="1013"/>
        </w:numPr>
      </w:pPr>
      <w:r>
        <w:t xml:space="preserve">en actief bewegen richting concrete conceptontwikkeling.</w:t>
      </w:r>
    </w:p>
    <w:p>
      <w:pPr>
        <w:pStyle w:val="FirstParagraph"/>
      </w:pPr>
      <w:r>
        <w:t xml:space="preserve">De midstake markeert daarmee:</w:t>
      </w:r>
    </w:p>
    <w:p>
      <w:pPr>
        <w:pStyle w:val="BlockText"/>
      </w:pPr>
      <w:r>
        <w:t xml:space="preserve">de overgang van begrijpen naar gericht creëren.</w:t>
      </w:r>
    </w:p>
    <w:p>
      <w:pPr>
        <w:pStyle w:val="FirstParagraph"/>
      </w:pPr>
      <w:r>
        <w:t xml:space="preserve">De midstake is een moment waarop zichtbaar wordt:</w:t>
      </w:r>
    </w:p>
    <w:p>
      <w:pPr>
        <w:pStyle w:val="Compact"/>
        <w:numPr>
          <w:ilvl w:val="0"/>
          <w:numId w:val="1014"/>
        </w:numPr>
      </w:pPr>
      <w:r>
        <w:t xml:space="preserve">hoe studenten betekenis geven aan complexiteit,</w:t>
      </w:r>
    </w:p>
    <w:p>
      <w:pPr>
        <w:pStyle w:val="Compact"/>
        <w:numPr>
          <w:ilvl w:val="0"/>
          <w:numId w:val="1014"/>
        </w:numPr>
      </w:pPr>
      <w:r>
        <w:t xml:space="preserve">hoe zij bewegen binnen onzekerheid,</w:t>
      </w:r>
    </w:p>
    <w:p>
      <w:pPr>
        <w:pStyle w:val="Compact"/>
        <w:numPr>
          <w:ilvl w:val="0"/>
          <w:numId w:val="1014"/>
        </w:numPr>
      </w:pPr>
      <w:r>
        <w:t xml:space="preserve">hoe zij onderzoek vertalen naar richting,</w:t>
      </w:r>
    </w:p>
    <w:p>
      <w:pPr>
        <w:pStyle w:val="Compact"/>
        <w:numPr>
          <w:ilvl w:val="0"/>
          <w:numId w:val="1014"/>
        </w:numPr>
      </w:pPr>
      <w:r>
        <w:t xml:space="preserve">en hoe probleem en oplossing zich gezamenlijk ontwikkelen.</w:t>
      </w:r>
    </w:p>
    <w:p>
      <w:pPr>
        <w:pStyle w:val="FirstParagraph"/>
      </w:pPr>
      <w:r>
        <w:t xml:space="preserve">De midstake beoordeelt daarom niet alleen:</w:t>
      </w:r>
    </w:p>
    <w:p>
      <w:pPr>
        <w:pStyle w:val="Compact"/>
        <w:numPr>
          <w:ilvl w:val="0"/>
          <w:numId w:val="1015"/>
        </w:numPr>
      </w:pPr>
      <w:r>
        <w:t xml:space="preserve">wat studenten gemaakt hebben.</w:t>
      </w:r>
    </w:p>
    <w:p>
      <w:pPr>
        <w:pStyle w:val="FirstParagraph"/>
      </w:pPr>
      <w:r>
        <w:t xml:space="preserve">Maar vooral:</w:t>
      </w:r>
    </w:p>
    <w:p>
      <w:pPr>
        <w:pStyle w:val="BlockText"/>
      </w:pPr>
      <w:r>
        <w:t xml:space="preserve">hoe zij denken, onderzoeken, kiezen en professioneel richting ontwikkelen.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6CF39CC16E314CB58725953C092EA5" ma:contentTypeVersion="14" ma:contentTypeDescription="Een nieuw document maken." ma:contentTypeScope="" ma:versionID="f2c3c1e80c723b013417590f81518e2c">
  <xsd:schema xmlns:xsd="http://www.w3.org/2001/XMLSchema" xmlns:xs="http://www.w3.org/2001/XMLSchema" xmlns:p="http://schemas.microsoft.com/office/2006/metadata/properties" xmlns:ns2="fc25896c-c42e-4377-b15a-0de0a0c6404d" xmlns:ns3="dd370089-7748-4a92-8d52-bec79210e4dc" targetNamespace="http://schemas.microsoft.com/office/2006/metadata/properties" ma:root="true" ma:fieldsID="c4d1c639a024c91f78f089610c7d479a" ns2:_="" ns3:_="">
    <xsd:import namespace="fc25896c-c42e-4377-b15a-0de0a0c6404d"/>
    <xsd:import namespace="dd370089-7748-4a92-8d52-bec79210e4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25896c-c42e-4377-b15a-0de0a0c640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Afbeeldingtags" ma:readOnly="false" ma:fieldId="{5cf76f15-5ced-4ddc-b409-7134ff3c332f}" ma:taxonomyMulti="true" ma:sspId="f6aa0a0a-ab1b-4084-9454-0fab047259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370089-7748-4a92-8d52-bec79210e4d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9b982a23-cbd6-457c-9792-e624935c5d59}" ma:internalName="TaxCatchAll" ma:showField="CatchAllData" ma:web="dd370089-7748-4a92-8d52-bec79210e4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25896c-c42e-4377-b15a-0de0a0c6404d">
      <Terms xmlns="http://schemas.microsoft.com/office/infopath/2007/PartnerControls"/>
    </lcf76f155ced4ddcb4097134ff3c332f>
    <TaxCatchAll xmlns="dd370089-7748-4a92-8d52-bec79210e4dc" xsi:nil="true"/>
  </documentManagement>
</p:properties>
</file>

<file path=customXml/itemProps1.xml><?xml version="1.0" encoding="utf-8"?>
<ds:datastoreItem xmlns:ds="http://schemas.openxmlformats.org/officeDocument/2006/customXml" ds:itemID="{90BA02D7-468D-4AB6-BB6E-9604C95E792E}"/>
</file>

<file path=customXml/itemProps2.xml><?xml version="1.0" encoding="utf-8"?>
<ds:datastoreItem xmlns:ds="http://schemas.openxmlformats.org/officeDocument/2006/customXml" ds:itemID="{4C602CF0-4B4B-4BC5-BCE9-203170DE937B}"/>
</file>

<file path=customXml/itemProps3.xml><?xml version="1.0" encoding="utf-8"?>
<ds:datastoreItem xmlns:ds="http://schemas.openxmlformats.org/officeDocument/2006/customXml" ds:itemID="{C8C61230-D03C-4DD3-A5DF-66F5E28A49BE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2026-05-26T07:51:14Z</dcterms:created>
  <dcterms:modified xsi:type="dcterms:W3CDTF">2026-05-26T07:51:14Z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0x0101004E6CF39CC16E314CB58725953C092EA5</vt:lpwstr>
  </property>
</Properties>
</file>