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color="FFFFFF" w:sz="0"/>
          <w:left w:val="none" w:color="FFFFFF" w:sz="0"/>
          <w:bottom w:val="none" w:color="FFFFFF" w:sz="0"/>
          <w:right w:val="none" w:color="FFFFFF" w:sz="0"/>
          <w:insideH w:val="single" w:color="auto" w:sz="4"/>
          <w:insideV w:val="single" w:color="auto" w:sz="4"/>
        </w:tblBorders>
      </w:tblPr>
      <w:tblGrid>
        <w:gridCol w:w="9746"/>
      </w:tblGrid>
      <w:tr>
        <w:tc>
          <w:tcPr>
            <w:tcW w:type="dxa" w:w="9746"/>
            <w:tcBorders>
              <w:top w:val="none" w:color="FFFFFF" w:sz="0"/>
              <w:left w:val="none" w:color="FFFFFF" w:sz="0"/>
              <w:bottom w:val="none" w:color="FFFFFF" w:sz="0"/>
              <w:right w:val="none" w:color="FFFFFF" w:sz="0"/>
            </w:tcBorders>
            <w:shd w:fill="E5007D" w:color="auto" w:val="clear"/>
            <w:tcMar>
              <w:top w:type="dxa" w:w="260"/>
              <w:left w:type="dxa" w:w="280"/>
              <w:bottom w:type="dxa" w:w="260"/>
              <w:right w:type="dxa" w:w="280"/>
            </w:tcMar>
          </w:tcPr>
          <w:p>
            <w:pPr>
              <w:spacing w:after="60"/>
            </w:pPr>
            <w:r>
              <w:rPr>
                <w:rFonts w:ascii="Arial" w:cs="Arial" w:eastAsia="Arial" w:hAnsi="Arial"/>
                <w:b/>
                <w:bCs/>
                <w:color w:val="FFFFFF"/>
                <w:spacing w:val="30"/>
                <w:sz w:val="16"/>
                <w:szCs w:val="16"/>
              </w:rPr>
              <w:t xml:space="preserve">MINOR CIRCULAIRE ECONOMIE  ·  HULPMIDDEL 10</w:t>
            </w:r>
          </w:p>
          <w:p>
            <w:pPr>
              <w:spacing w:after="40"/>
            </w:pPr>
            <w:r>
              <w:rPr>
                <w:rFonts w:ascii="Arial" w:cs="Arial" w:eastAsia="Arial" w:hAnsi="Arial"/>
                <w:b/>
                <w:bCs/>
                <w:color w:val="FFFFFF"/>
                <w:sz w:val="52"/>
                <w:szCs w:val="52"/>
              </w:rPr>
              <w:t xml:space="preserve">CE-modellen</w:t>
            </w:r>
          </w:p>
          <w:p>
            <w:r>
              <w:rPr>
                <w:rFonts w:ascii="Arial" w:cs="Arial" w:eastAsia="Arial" w:hAnsi="Arial"/>
                <w:color w:val="FBD9EA"/>
                <w:sz w:val="22"/>
                <w:szCs w:val="22"/>
              </w:rPr>
              <w:t xml:space="preserve">Denkmodellen om je project circulair te maken</w:t>
            </w:r>
          </w:p>
        </w:tc>
      </w:tr>
    </w:tbl>
    <w:p>
      <w:pPr>
        <w:spacing w:after="160"/>
      </w:pPr>
      <w:r>
        <w:rPr>
          <w:rFonts w:ascii="Arial" w:cs="Arial" w:eastAsia="Arial" w:hAnsi="Arial"/>
        </w:rPr>
        <w:t xml:space="preserve"/>
      </w:r>
    </w:p>
    <w:p>
      <w:pPr>
        <w:keepNext/>
        <w:pBdr>
          <w:bottom w:val="single" w:color="E5007D" w:sz="8" w:space="4"/>
        </w:pBdr>
        <w:spacing w:after="140" w:before="360"/>
      </w:pPr>
      <w:r>
        <w:rPr>
          <w:rFonts w:ascii="Arial" w:cs="Arial" w:eastAsia="Arial" w:hAnsi="Arial"/>
          <w:b/>
          <w:bCs/>
          <w:color w:val="E5007D"/>
          <w:sz w:val="28"/>
          <w:szCs w:val="28"/>
        </w:rPr>
        <w:t xml:space="preserve">Waarom CE-modellen?</w:t>
      </w:r>
    </w:p>
    <w:p>
      <w:pPr>
        <w:spacing w:after="120" w:before="0" w:line="264"/>
      </w:pPr>
      <w:r>
        <w:rPr>
          <w:rFonts w:ascii="Arial" w:cs="Arial" w:eastAsia="Arial" w:hAnsi="Arial"/>
        </w:rPr>
        <w:t xml:space="preserve">Circulaire economie draait om één idee: grondstoffen zo lang en zo waardevol mogelijk in omloop houden, in plaats van ze te gebruiken en weg te gooien. Dat is de omslag van lineair (nemen, maken, weggooien) naar circulair.</w:t>
      </w:r>
    </w:p>
    <w:p>
      <w:pPr>
        <w:spacing w:after="120" w:before="0" w:line="264"/>
      </w:pPr>
      <w:r>
        <w:rPr>
          <w:rFonts w:ascii="Arial" w:cs="Arial" w:eastAsia="Arial" w:hAnsi="Arial"/>
        </w:rPr>
        <w:t xml:space="preserve">De modellen hieronder helpen je dat idee toe te passen op je project. Gebruik ze om je probleem en je oplossing scherper te krijgen, en om keuzes te onderbouwen (09). Je hoeft ze niet allemaal te gebruiken; kies wat past.</w:t>
      </w:r>
    </w:p>
    <w:p>
      <w:pPr>
        <w:spacing w:after="120" w:before="0" w:line="264"/>
      </w:pPr>
      <w:r>
        <w:rPr>
          <w:rFonts w:ascii="Arial" w:cs="Arial" w:eastAsia="Arial" w:hAnsi="Arial"/>
        </w:rPr>
        <w:t xml:space="preserve">Onder alle modellen ligt hetzelfde: kijk naar de hele levenscyclus en materiaalstroom van een product, niet alleen naar het moment van gebruik.</w:t>
      </w:r>
    </w:p>
    <w:p>
      <w:pPr>
        <w:keepNext/>
        <w:pBdr>
          <w:bottom w:val="single" w:color="E5007D" w:sz="8" w:space="4"/>
        </w:pBdr>
        <w:spacing w:after="140" w:before="360"/>
      </w:pPr>
      <w:r>
        <w:rPr>
          <w:rFonts w:ascii="Arial" w:cs="Arial" w:eastAsia="Arial" w:hAnsi="Arial"/>
          <w:b/>
          <w:bCs/>
          <w:color w:val="E5007D"/>
          <w:sz w:val="28"/>
          <w:szCs w:val="28"/>
        </w:rPr>
        <w:t xml:space="preserve">Model 1: de R-ladder</w:t>
      </w:r>
    </w:p>
    <w:p>
      <w:pPr>
        <w:spacing w:after="120" w:before="0" w:line="264"/>
      </w:pPr>
      <w:r>
        <w:rPr>
          <w:rFonts w:ascii="Arial" w:cs="Arial" w:eastAsia="Arial" w:hAnsi="Arial"/>
        </w:rPr>
        <w:t xml:space="preserve">De R-ladder ordent circulaire strategieen op prioriteit. Hoe hoger op de ladder, hoe circulairder: je voorkomt grondstofgebruik in plaats van het achteraf op te lossen. Begin altijd bovenaan: kun je iets weigeren of verminderen, dan is dat beter dan recyclen.</w:t>
      </w:r>
    </w:p>
    <w:p>
      <w:pPr>
        <w:spacing w:after="60" w:before="80"/>
        <w:jc w:val="center"/>
      </w:pPr>
      <w:r>
        <w:drawing>
          <wp:inline distT="0" distB="0" distL="0" distR="0">
            <wp:extent cx="44767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3028950"/>
                    </a:xfrm>
                    <a:prstGeom prst="rect">
                      <a:avLst/>
                    </a:prstGeom>
                  </pic:spPr>
                </pic:pic>
              </a:graphicData>
            </a:graphic>
          </wp:inline>
        </w:drawing>
      </w:r>
    </w:p>
    <w:p>
      <w:pPr>
        <w:spacing w:after="120"/>
        <w:jc w:val="center"/>
      </w:pPr>
      <w:r>
        <w:rPr>
          <w:rFonts w:ascii="Arial" w:cs="Arial" w:eastAsia="Arial" w:hAnsi="Arial"/>
          <w:i/>
          <w:iCs/>
          <w:color w:val="595959"/>
          <w:sz w:val="16"/>
          <w:szCs w:val="16"/>
        </w:rPr>
        <w:t xml:space="preserve">De R-ladder: hoe hoger de trede, hoe circulairder de strategie.</w:t>
      </w:r>
    </w:p>
    <w:p>
      <w:pPr>
        <w:spacing w:after="120" w:before="0" w:line="264"/>
      </w:pPr>
      <w:r>
        <w:rPr>
          <w:rFonts w:ascii="Arial" w:cs="Arial" w:eastAsia="Arial" w:hAnsi="Arial"/>
          <w:b/>
          <w:bCs/>
        </w:rPr>
        <w:t xml:space="preserve">Wanneer gebruiken: </w:t>
      </w:r>
      <w:r>
        <w:rPr>
          <w:rFonts w:ascii="Arial" w:cs="Arial" w:eastAsia="Arial" w:hAnsi="Arial"/>
          <w:sz w:val="19"/>
          <w:szCs w:val="19"/>
        </w:rPr>
        <w:t xml:space="preserve">om te bepalen welke strategie het meest circulair is voor jouw vraagstuk, en om ambitie te tonen door naar een zo hoog mogelijke trede te streven.</w:t>
      </w:r>
    </w:p>
    <w:p>
      <w:pPr>
        <w:keepNext/>
        <w:pBdr>
          <w:bottom w:val="single" w:color="E5007D" w:sz="8" w:space="4"/>
        </w:pBdr>
        <w:spacing w:after="140" w:before="360"/>
      </w:pPr>
      <w:r>
        <w:rPr>
          <w:rFonts w:ascii="Arial" w:cs="Arial" w:eastAsia="Arial" w:hAnsi="Arial"/>
          <w:b/>
          <w:bCs/>
          <w:color w:val="E5007D"/>
          <w:sz w:val="28"/>
          <w:szCs w:val="28"/>
        </w:rPr>
        <w:t xml:space="preserve">Model 2: het vlinderdiagram</w:t>
      </w:r>
    </w:p>
    <w:p>
      <w:pPr>
        <w:spacing w:after="120" w:before="0" w:line="264"/>
      </w:pPr>
      <w:r>
        <w:rPr>
          <w:rFonts w:ascii="Arial" w:cs="Arial" w:eastAsia="Arial" w:hAnsi="Arial"/>
        </w:rPr>
        <w:t xml:space="preserve">Het vlinderdiagram laat zien hoe je materialen in kringlopen houdt. Links de biologische kringloop, voor materialen die kunnen terugkeren in de natuur (composteren, regenereren). Rechts de technische kringloop, voor materialen die je in productie houdt (hergebruiken, repareren, opknappen, recyclen). De binnenste lus behoudt de meeste waarde.</w:t>
      </w:r>
    </w:p>
    <w:p>
      <w:pPr>
        <w:spacing w:after="60" w:before="80"/>
        <w:jc w:val="center"/>
      </w:pPr>
      <w:r>
        <w:drawing>
          <wp:inline distT="0" distB="0" distL="0" distR="0">
            <wp:extent cx="5715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81350"/>
                    </a:xfrm>
                    <a:prstGeom prst="rect">
                      <a:avLst/>
                    </a:prstGeom>
                  </pic:spPr>
                </pic:pic>
              </a:graphicData>
            </a:graphic>
          </wp:inline>
        </w:drawing>
      </w:r>
    </w:p>
    <w:p>
      <w:pPr>
        <w:spacing w:after="120"/>
        <w:jc w:val="center"/>
      </w:pPr>
      <w:r>
        <w:rPr>
          <w:rFonts w:ascii="Arial" w:cs="Arial" w:eastAsia="Arial" w:hAnsi="Arial"/>
          <w:i/>
          <w:iCs/>
          <w:color w:val="595959"/>
          <w:sz w:val="16"/>
          <w:szCs w:val="16"/>
        </w:rPr>
        <w:t xml:space="preserve">Het vlinderdiagram: een biologische en een technische kringloop.</w:t>
      </w:r>
    </w:p>
    <w:p>
      <w:pPr>
        <w:spacing w:after="120" w:before="0" w:line="264"/>
      </w:pPr>
      <w:r>
        <w:rPr>
          <w:rFonts w:ascii="Arial" w:cs="Arial" w:eastAsia="Arial" w:hAnsi="Arial"/>
          <w:b/>
          <w:bCs/>
        </w:rPr>
        <w:t xml:space="preserve">Wanneer gebruiken: </w:t>
      </w:r>
      <w:r>
        <w:rPr>
          <w:rFonts w:ascii="Arial" w:cs="Arial" w:eastAsia="Arial" w:hAnsi="Arial"/>
          <w:sz w:val="19"/>
          <w:szCs w:val="19"/>
        </w:rPr>
        <w:t xml:space="preserve">om te bepalen in welke kringloop jouw product of materiaal thuishoort, en welke lus je kunt verkleinen.</w:t>
      </w:r>
    </w:p>
    <w:p>
      <w:pPr>
        <w:keepNext/>
        <w:pBdr>
          <w:bottom w:val="single" w:color="E5007D" w:sz="8" w:space="4"/>
        </w:pBdr>
        <w:spacing w:after="140" w:before="360"/>
      </w:pPr>
      <w:r>
        <w:rPr>
          <w:rFonts w:ascii="Arial" w:cs="Arial" w:eastAsia="Arial" w:hAnsi="Arial"/>
          <w:b/>
          <w:bCs/>
          <w:color w:val="E5007D"/>
          <w:sz w:val="28"/>
          <w:szCs w:val="28"/>
        </w:rPr>
        <w:t xml:space="preserve">Model 3: de value hill</w:t>
      </w:r>
    </w:p>
    <w:p>
      <w:pPr>
        <w:spacing w:after="120" w:before="0" w:line="264"/>
      </w:pPr>
      <w:r>
        <w:rPr>
          <w:rFonts w:ascii="Arial" w:cs="Arial" w:eastAsia="Arial" w:hAnsi="Arial"/>
        </w:rPr>
        <w:t xml:space="preserve">De value hill laat de waarde van een product zien over zijn levensloop. Tijdens ontwerp en productie bouw je waarde op (de berg op). Bij gebruik is de waarde het hoogst (de top). Daarna kun je waarde behouden of laten wegzakken. Circulaire strategieen houden de waarde hoog door producten terug te brengen naar de top, in plaats van ze als afval te laten vallen.</w:t>
      </w:r>
    </w:p>
    <w:p>
      <w:pPr>
        <w:spacing w:after="60" w:before="80"/>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19425"/>
                    </a:xfrm>
                    <a:prstGeom prst="rect">
                      <a:avLst/>
                    </a:prstGeom>
                  </pic:spPr>
                </pic:pic>
              </a:graphicData>
            </a:graphic>
          </wp:inline>
        </w:drawing>
      </w:r>
    </w:p>
    <w:p>
      <w:pPr>
        <w:spacing w:after="120"/>
        <w:jc w:val="center"/>
      </w:pPr>
      <w:r>
        <w:rPr>
          <w:rFonts w:ascii="Arial" w:cs="Arial" w:eastAsia="Arial" w:hAnsi="Arial"/>
          <w:i/>
          <w:iCs/>
          <w:color w:val="595959"/>
          <w:sz w:val="16"/>
          <w:szCs w:val="16"/>
        </w:rPr>
        <w:t xml:space="preserve">De value hill: circulaire strategieen houden de waarde dicht bij de top.</w:t>
      </w:r>
    </w:p>
    <w:p>
      <w:pPr>
        <w:spacing w:after="120" w:before="0" w:line="264"/>
      </w:pPr>
      <w:r>
        <w:rPr>
          <w:rFonts w:ascii="Arial" w:cs="Arial" w:eastAsia="Arial" w:hAnsi="Arial"/>
          <w:b/>
          <w:bCs/>
        </w:rPr>
        <w:t xml:space="preserve">Wanneer gebruiken: </w:t>
      </w:r>
      <w:r>
        <w:rPr>
          <w:rFonts w:ascii="Arial" w:cs="Arial" w:eastAsia="Arial" w:hAnsi="Arial"/>
          <w:sz w:val="19"/>
          <w:szCs w:val="19"/>
        </w:rPr>
        <w:t xml:space="preserve">om te laten zien waar in de levensloop jouw oplossing waarde toevoegt of behoudt.</w:t>
      </w:r>
    </w:p>
    <w:p>
      <w:pPr>
        <w:keepNext/>
        <w:pBdr>
          <w:bottom w:val="single" w:color="E5007D" w:sz="8" w:space="4"/>
        </w:pBdr>
        <w:spacing w:after="140" w:before="360"/>
      </w:pPr>
      <w:r>
        <w:rPr>
          <w:rFonts w:ascii="Arial" w:cs="Arial" w:eastAsia="Arial" w:hAnsi="Arial"/>
          <w:b/>
          <w:bCs/>
          <w:color w:val="E5007D"/>
          <w:sz w:val="28"/>
          <w:szCs w:val="28"/>
        </w:rPr>
        <w:t xml:space="preserve">Welk model gebruik je?</w:t>
      </w:r>
    </w:p>
    <w:p>
      <w:pPr>
        <w:spacing w:after="120" w:before="0" w:line="264"/>
      </w:pPr>
      <w:r>
        <w:rPr>
          <w:rFonts w:ascii="Arial" w:cs="Arial" w:eastAsia="Arial" w:hAnsi="Arial"/>
        </w:rPr>
        <w:t xml:space="preserve">Bepaal per model of het je project scherper maakt, en hoe je het toepast.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546"/>
        <w:gridCol w:w="3800"/>
      </w:tblGrid>
      <w:tr>
        <w:trPr>
          <w:tblHeader/>
        </w:trPr>
        <w:tc>
          <w:tcPr>
            <w:tcW w:type="dxa" w:w="2400"/>
            <w:tcBorders>
              <w:top w:val="single" w:color="D9D9D9" w:sz="4"/>
              <w:left w:val="single" w:color="D9D9D9" w:sz="4"/>
              <w:bottom w:val="single" w:color="D9D9D9" w:sz="4"/>
              <w:right w:val="single" w:color="D9D9D9" w:sz="4"/>
            </w:tcBorders>
            <w:shd w:fill="E5007D" w:color="auto" w:val="clear"/>
            <w:tcMar>
              <w:top w:type="dxa" w:w="70"/>
              <w:left w:type="dxa" w:w="120"/>
              <w:bottom w:type="dxa" w:w="70"/>
              <w:right w:type="dxa" w:w="120"/>
            </w:tcMar>
          </w:tcPr>
          <w:p>
            <w:r>
              <w:rPr>
                <w:rFonts w:ascii="Arial" w:cs="Arial" w:eastAsia="Arial" w:hAnsi="Arial"/>
                <w:b/>
                <w:bCs/>
                <w:color w:val="FFFFFF"/>
                <w:sz w:val="18"/>
                <w:szCs w:val="18"/>
              </w:rPr>
              <w:t xml:space="preserve">Model</w:t>
            </w:r>
          </w:p>
        </w:tc>
        <w:tc>
          <w:tcPr>
            <w:tcW w:type="dxa" w:w="3546"/>
            <w:tcBorders>
              <w:top w:val="single" w:color="D9D9D9" w:sz="4"/>
              <w:left w:val="single" w:color="D9D9D9" w:sz="4"/>
              <w:bottom w:val="single" w:color="D9D9D9" w:sz="4"/>
              <w:right w:val="single" w:color="D9D9D9" w:sz="4"/>
            </w:tcBorders>
            <w:shd w:fill="E5007D" w:color="auto" w:val="clear"/>
            <w:tcMar>
              <w:top w:type="dxa" w:w="70"/>
              <w:left w:type="dxa" w:w="120"/>
              <w:bottom w:type="dxa" w:w="70"/>
              <w:right w:type="dxa" w:w="120"/>
            </w:tcMar>
          </w:tcPr>
          <w:p>
            <w:r>
              <w:rPr>
                <w:rFonts w:ascii="Arial" w:cs="Arial" w:eastAsia="Arial" w:hAnsi="Arial"/>
                <w:b/>
                <w:bCs/>
                <w:color w:val="FFFFFF"/>
                <w:sz w:val="18"/>
                <w:szCs w:val="18"/>
              </w:rPr>
              <w:t xml:space="preserve">Waar het over gaat</w:t>
            </w:r>
          </w:p>
        </w:tc>
        <w:tc>
          <w:tcPr>
            <w:tcW w:type="dxa" w:w="3800"/>
            <w:tcBorders>
              <w:top w:val="single" w:color="D9D9D9" w:sz="4"/>
              <w:left w:val="single" w:color="D9D9D9" w:sz="4"/>
              <w:bottom w:val="single" w:color="D9D9D9" w:sz="4"/>
              <w:right w:val="single" w:color="D9D9D9" w:sz="4"/>
            </w:tcBorders>
            <w:shd w:fill="E5007D" w:color="auto" w:val="clear"/>
            <w:tcMar>
              <w:top w:type="dxa" w:w="70"/>
              <w:left w:type="dxa" w:w="120"/>
              <w:bottom w:type="dxa" w:w="70"/>
              <w:right w:type="dxa" w:w="120"/>
            </w:tcMar>
          </w:tcPr>
          <w:p>
            <w:r>
              <w:rPr>
                <w:rFonts w:ascii="Arial" w:cs="Arial" w:eastAsia="Arial" w:hAnsi="Arial"/>
                <w:b/>
                <w:bCs/>
                <w:color w:val="FFFFFF"/>
                <w:sz w:val="18"/>
                <w:szCs w:val="18"/>
              </w:rPr>
              <w:t xml:space="preserve">Hoe gebruik je het in je project?</w:t>
            </w:r>
          </w:p>
        </w:tc>
      </w:tr>
      <w:tr>
        <w:tc>
          <w:tcPr>
            <w:tcW w:type="dxa" w:w="2400"/>
            <w:tcBorders>
              <w:top w:val="single" w:color="D9D9D9" w:sz="4"/>
              <w:left w:val="single" w:color="D9D9D9" w:sz="4"/>
              <w:bottom w:val="single" w:color="D9D9D9" w:sz="4"/>
              <w:right w:val="single" w:color="D9D9D9" w:sz="4"/>
            </w:tcBorders>
            <w:tcMar>
              <w:top w:type="dxa" w:w="85"/>
              <w:left w:type="dxa" w:w="120"/>
              <w:bottom w:type="dxa" w:w="85"/>
              <w:right w:type="dxa" w:w="120"/>
            </w:tcMar>
            <w:vAlign w:val="top"/>
          </w:tcPr>
          <w:p>
            <w:pPr>
              <w:spacing w:line="252"/>
            </w:pPr>
            <w:r>
              <w:rPr>
                <w:rFonts w:ascii="Arial" w:cs="Arial" w:eastAsia="Arial" w:hAnsi="Arial"/>
                <w:sz w:val="18"/>
                <w:szCs w:val="18"/>
              </w:rPr>
              <w:t xml:space="preserve">R-ladder</w:t>
            </w:r>
          </w:p>
        </w:tc>
        <w:tc>
          <w:tcPr>
            <w:tcW w:type="dxa" w:w="3546"/>
            <w:tcBorders>
              <w:top w:val="single" w:color="D9D9D9" w:sz="4"/>
              <w:left w:val="single" w:color="D9D9D9" w:sz="4"/>
              <w:bottom w:val="single" w:color="D9D9D9" w:sz="4"/>
              <w:right w:val="single" w:color="D9D9D9" w:sz="4"/>
            </w:tcBorders>
            <w:tcMar>
              <w:top w:type="dxa" w:w="85"/>
              <w:left w:type="dxa" w:w="120"/>
              <w:bottom w:type="dxa" w:w="85"/>
              <w:right w:type="dxa" w:w="120"/>
            </w:tcMar>
            <w:vAlign w:val="top"/>
          </w:tcPr>
          <w:p>
            <w:pPr>
              <w:spacing w:line="252"/>
            </w:pPr>
            <w:r>
              <w:rPr>
                <w:rFonts w:ascii="Arial" w:cs="Arial" w:eastAsia="Arial" w:hAnsi="Arial"/>
                <w:sz w:val="18"/>
                <w:szCs w:val="18"/>
              </w:rPr>
              <w:t xml:space="preserve">prioriteit van circulaire strategieen</w:t>
            </w:r>
          </w:p>
        </w:tc>
        <w:tc>
          <w:tcPr>
            <w:tcW w:type="dxa" w:w="3800"/>
            <w:tcBorders>
              <w:top w:val="single" w:color="D9D9D9" w:sz="4"/>
              <w:left w:val="single" w:color="D9D9D9" w:sz="4"/>
              <w:bottom w:val="single" w:color="D9D9D9" w:sz="4"/>
              <w:right w:val="single" w:color="D9D9D9" w:sz="4"/>
            </w:tcBorders>
            <w:tcMar>
              <w:top w:type="dxa" w:w="85"/>
              <w:left w:type="dxa" w:w="120"/>
              <w:bottom w:type="dxa" w:w="85"/>
              <w:right w:type="dxa" w:w="120"/>
            </w:tcMar>
            <w:vAlign w:val="top"/>
          </w:tcPr>
          <w:p>
            <w:pPr>
              <w:spacing w:line="252"/>
            </w:pPr>
            <w:r>
              <w:rPr>
                <w:rFonts w:ascii="Arial" w:cs="Arial" w:eastAsia="Arial" w:hAnsi="Arial"/>
                <w:i/>
                <w:iCs/>
                <w:color w:val="595959"/>
                <w:sz w:val="18"/>
                <w:szCs w:val="18"/>
              </w:rPr>
              <w:t xml:space="preserve">[ vul in ]</w:t>
            </w:r>
          </w:p>
        </w:tc>
      </w:tr>
      <w:tr>
        <w:tc>
          <w:tcPr>
            <w:tcW w:type="dxa" w:w="2400"/>
            <w:tcBorders>
              <w:top w:val="single" w:color="D9D9D9" w:sz="4"/>
              <w:left w:val="single" w:color="D9D9D9" w:sz="4"/>
              <w:bottom w:val="single" w:color="D9D9D9" w:sz="4"/>
              <w:right w:val="single" w:color="D9D9D9" w:sz="4"/>
            </w:tcBorders>
            <w:tcMar>
              <w:top w:type="dxa" w:w="85"/>
              <w:left w:type="dxa" w:w="120"/>
              <w:bottom w:type="dxa" w:w="85"/>
              <w:right w:type="dxa" w:w="120"/>
            </w:tcMar>
            <w:vAlign w:val="top"/>
          </w:tcPr>
          <w:p>
            <w:pPr>
              <w:spacing w:line="252"/>
            </w:pPr>
            <w:r>
              <w:rPr>
                <w:rFonts w:ascii="Arial" w:cs="Arial" w:eastAsia="Arial" w:hAnsi="Arial"/>
                <w:sz w:val="18"/>
                <w:szCs w:val="18"/>
              </w:rPr>
              <w:t xml:space="preserve">Vlinderdiagram</w:t>
            </w:r>
          </w:p>
        </w:tc>
        <w:tc>
          <w:tcPr>
            <w:tcW w:type="dxa" w:w="3546"/>
            <w:tcBorders>
              <w:top w:val="single" w:color="D9D9D9" w:sz="4"/>
              <w:left w:val="single" w:color="D9D9D9" w:sz="4"/>
              <w:bottom w:val="single" w:color="D9D9D9" w:sz="4"/>
              <w:right w:val="single" w:color="D9D9D9" w:sz="4"/>
            </w:tcBorders>
            <w:tcMar>
              <w:top w:type="dxa" w:w="85"/>
              <w:left w:type="dxa" w:w="120"/>
              <w:bottom w:type="dxa" w:w="85"/>
              <w:right w:type="dxa" w:w="120"/>
            </w:tcMar>
            <w:vAlign w:val="top"/>
          </w:tcPr>
          <w:p>
            <w:pPr>
              <w:spacing w:line="252"/>
            </w:pPr>
            <w:r>
              <w:rPr>
                <w:rFonts w:ascii="Arial" w:cs="Arial" w:eastAsia="Arial" w:hAnsi="Arial"/>
                <w:sz w:val="18"/>
                <w:szCs w:val="18"/>
              </w:rPr>
              <w:t xml:space="preserve">materialen in kringlopen houden</w:t>
            </w:r>
          </w:p>
        </w:tc>
        <w:tc>
          <w:tcPr>
            <w:tcW w:type="dxa" w:w="3800"/>
            <w:tcBorders>
              <w:top w:val="single" w:color="D9D9D9" w:sz="4"/>
              <w:left w:val="single" w:color="D9D9D9" w:sz="4"/>
              <w:bottom w:val="single" w:color="D9D9D9" w:sz="4"/>
              <w:right w:val="single" w:color="D9D9D9" w:sz="4"/>
            </w:tcBorders>
            <w:tcMar>
              <w:top w:type="dxa" w:w="85"/>
              <w:left w:type="dxa" w:w="120"/>
              <w:bottom w:type="dxa" w:w="85"/>
              <w:right w:type="dxa" w:w="120"/>
            </w:tcMar>
            <w:vAlign w:val="top"/>
          </w:tcPr>
          <w:p>
            <w:pPr>
              <w:spacing w:line="252"/>
            </w:pPr>
            <w:r>
              <w:rPr>
                <w:rFonts w:ascii="Arial" w:cs="Arial" w:eastAsia="Arial" w:hAnsi="Arial"/>
                <w:i/>
                <w:iCs/>
                <w:color w:val="595959"/>
                <w:sz w:val="18"/>
                <w:szCs w:val="18"/>
              </w:rPr>
              <w:t xml:space="preserve">[ vul in ]</w:t>
            </w:r>
          </w:p>
        </w:tc>
      </w:tr>
      <w:tr>
        <w:tc>
          <w:tcPr>
            <w:tcW w:type="dxa" w:w="2400"/>
            <w:tcBorders>
              <w:top w:val="single" w:color="D9D9D9" w:sz="4"/>
              <w:left w:val="single" w:color="D9D9D9" w:sz="4"/>
              <w:bottom w:val="single" w:color="D9D9D9" w:sz="4"/>
              <w:right w:val="single" w:color="D9D9D9" w:sz="4"/>
            </w:tcBorders>
            <w:tcMar>
              <w:top w:type="dxa" w:w="85"/>
              <w:left w:type="dxa" w:w="120"/>
              <w:bottom w:type="dxa" w:w="85"/>
              <w:right w:type="dxa" w:w="120"/>
            </w:tcMar>
            <w:vAlign w:val="top"/>
          </w:tcPr>
          <w:p>
            <w:pPr>
              <w:spacing w:line="252"/>
            </w:pPr>
            <w:r>
              <w:rPr>
                <w:rFonts w:ascii="Arial" w:cs="Arial" w:eastAsia="Arial" w:hAnsi="Arial"/>
                <w:sz w:val="18"/>
                <w:szCs w:val="18"/>
              </w:rPr>
              <w:t xml:space="preserve">Value hill</w:t>
            </w:r>
          </w:p>
        </w:tc>
        <w:tc>
          <w:tcPr>
            <w:tcW w:type="dxa" w:w="3546"/>
            <w:tcBorders>
              <w:top w:val="single" w:color="D9D9D9" w:sz="4"/>
              <w:left w:val="single" w:color="D9D9D9" w:sz="4"/>
              <w:bottom w:val="single" w:color="D9D9D9" w:sz="4"/>
              <w:right w:val="single" w:color="D9D9D9" w:sz="4"/>
            </w:tcBorders>
            <w:tcMar>
              <w:top w:type="dxa" w:w="85"/>
              <w:left w:type="dxa" w:w="120"/>
              <w:bottom w:type="dxa" w:w="85"/>
              <w:right w:type="dxa" w:w="120"/>
            </w:tcMar>
            <w:vAlign w:val="top"/>
          </w:tcPr>
          <w:p>
            <w:pPr>
              <w:spacing w:line="252"/>
            </w:pPr>
            <w:r>
              <w:rPr>
                <w:rFonts w:ascii="Arial" w:cs="Arial" w:eastAsia="Arial" w:hAnsi="Arial"/>
                <w:sz w:val="18"/>
                <w:szCs w:val="18"/>
              </w:rPr>
              <w:t xml:space="preserve">waarde behouden over de levensloop</w:t>
            </w:r>
          </w:p>
        </w:tc>
        <w:tc>
          <w:tcPr>
            <w:tcW w:type="dxa" w:w="3800"/>
            <w:tcBorders>
              <w:top w:val="single" w:color="D9D9D9" w:sz="4"/>
              <w:left w:val="single" w:color="D9D9D9" w:sz="4"/>
              <w:bottom w:val="single" w:color="D9D9D9" w:sz="4"/>
              <w:right w:val="single" w:color="D9D9D9" w:sz="4"/>
            </w:tcBorders>
            <w:tcMar>
              <w:top w:type="dxa" w:w="85"/>
              <w:left w:type="dxa" w:w="120"/>
              <w:bottom w:type="dxa" w:w="85"/>
              <w:right w:type="dxa" w:w="120"/>
            </w:tcMar>
            <w:vAlign w:val="top"/>
          </w:tcPr>
          <w:p>
            <w:pPr>
              <w:spacing w:line="252"/>
            </w:pPr>
            <w:r>
              <w:rPr>
                <w:rFonts w:ascii="Arial" w:cs="Arial" w:eastAsia="Arial" w:hAnsi="Arial"/>
                <w:i/>
                <w:iCs/>
                <w:color w:val="595959"/>
                <w:sz w:val="18"/>
                <w:szCs w:val="18"/>
              </w:rPr>
              <w:t xml:space="preserve">[ vul in ]</w:t>
            </w:r>
          </w:p>
        </w:tc>
      </w:tr>
    </w:tbl>
    <w:p>
      <w:pPr>
        <w:spacing w:after="140"/>
      </w:pPr>
      <w:r>
        <w:rPr>
          <w:rFonts w:ascii="Arial" w:cs="Arial" w:eastAsia="Arial" w:hAnsi="Arial"/>
        </w:rPr>
        <w:t xml:space="preserve"/>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CE7F1"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TIP</w:t>
            </w:r>
          </w:p>
          <w:p>
            <w:pPr>
              <w:pStyle w:val="ListParagraph"/>
              <w:numPr>
                <w:ilvl w:val="0"/>
                <w:numId w:val="2"/>
              </w:numPr>
              <w:spacing w:after="60" w:line="260"/>
            </w:pPr>
            <w:r>
              <w:rPr>
                <w:rFonts w:ascii="Arial" w:cs="Arial" w:eastAsia="Arial" w:hAnsi="Arial"/>
              </w:rPr>
              <w:t xml:space="preserve">Combineer de modellen. De R-ladder geeft prioriteit, het vlinderdiagram laat de kringloop zien, de value hill toont de waarde. Samen vertellen ze een compleet circulair verhaal.</w:t>
            </w:r>
          </w:p>
          <w:p>
            <w:pPr>
              <w:pStyle w:val="ListParagraph"/>
              <w:numPr>
                <w:ilvl w:val="0"/>
                <w:numId w:val="2"/>
              </w:numPr>
              <w:spacing w:after="60" w:line="260"/>
            </w:pPr>
            <w:r>
              <w:rPr>
                <w:rFonts w:ascii="Arial" w:cs="Arial" w:eastAsia="Arial" w:hAnsi="Arial"/>
              </w:rPr>
              <w:t xml:space="preserve">Pas een model toe, beschrijf het niet alleen. Een model in je paper plakken zegt weinig; laat zien welke keuze het oplevert voor jouw project.</w:t>
            </w:r>
          </w:p>
        </w:tc>
      </w:tr>
    </w:tbl>
    <w:p>
      <w:pPr>
        <w:keepNext/>
        <w:pBdr>
          <w:bottom w:val="single" w:color="E5007D" w:sz="8" w:space="4"/>
        </w:pBdr>
        <w:spacing w:after="140" w:before="360"/>
      </w:pPr>
      <w:r>
        <w:rPr>
          <w:rFonts w:ascii="Arial" w:cs="Arial" w:eastAsia="Arial" w:hAnsi="Arial"/>
          <w:b/>
          <w:bCs/>
          <w:color w:val="E5007D"/>
          <w:sz w:val="28"/>
          <w:szCs w:val="28"/>
        </w:rPr>
        <w:t xml:space="preserve">Valkuilen</w:t>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4F4F4"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VALKUILEN</w:t>
            </w:r>
          </w:p>
          <w:p>
            <w:pPr>
              <w:pStyle w:val="ListParagraph"/>
              <w:numPr>
                <w:ilvl w:val="0"/>
                <w:numId w:val="3"/>
              </w:numPr>
              <w:spacing w:after="80" w:line="258"/>
            </w:pPr>
            <w:r>
              <w:rPr>
                <w:rFonts w:ascii="Arial" w:cs="Arial" w:eastAsia="Arial" w:hAnsi="Arial"/>
                <w:b/>
                <w:bCs/>
              </w:rPr>
              <w:t xml:space="preserve">Een model als plaatje gebruiken. </w:t>
            </w:r>
            <w:r>
              <w:rPr>
                <w:rFonts w:ascii="Arial" w:cs="Arial" w:eastAsia="Arial" w:hAnsi="Arial"/>
              </w:rPr>
              <w:t xml:space="preserve">Een R-ladder zonder dat je laat zien welke trede jij kiest, is decoratie.</w:t>
            </w:r>
          </w:p>
          <w:p>
            <w:pPr>
              <w:pStyle w:val="ListParagraph"/>
              <w:numPr>
                <w:ilvl w:val="0"/>
                <w:numId w:val="3"/>
              </w:numPr>
              <w:spacing w:after="80" w:line="258"/>
            </w:pPr>
            <w:r>
              <w:rPr>
                <w:rFonts w:ascii="Arial" w:cs="Arial" w:eastAsia="Arial" w:hAnsi="Arial"/>
                <w:b/>
                <w:bCs/>
              </w:rPr>
              <w:t xml:space="preserve">Alleen naar recyclen kijken. </w:t>
            </w:r>
            <w:r>
              <w:rPr>
                <w:rFonts w:ascii="Arial" w:cs="Arial" w:eastAsia="Arial" w:hAnsi="Arial"/>
              </w:rPr>
              <w:t xml:space="preserve">Recyclen staat laag op de ladder. Kijk eerst of je hoger kunt: weigeren, verminderen, hergebruiken.</w:t>
            </w:r>
          </w:p>
          <w:p>
            <w:pPr>
              <w:pStyle w:val="ListParagraph"/>
              <w:numPr>
                <w:ilvl w:val="0"/>
                <w:numId w:val="3"/>
              </w:numPr>
              <w:spacing w:after="80" w:line="258"/>
            </w:pPr>
            <w:r>
              <w:rPr>
                <w:rFonts w:ascii="Arial" w:cs="Arial" w:eastAsia="Arial" w:hAnsi="Arial"/>
                <w:b/>
                <w:bCs/>
              </w:rPr>
              <w:t xml:space="preserve">De hele levenscyclus vergeten. </w:t>
            </w:r>
            <w:r>
              <w:rPr>
                <w:rFonts w:ascii="Arial" w:cs="Arial" w:eastAsia="Arial" w:hAnsi="Arial"/>
              </w:rPr>
              <w:t xml:space="preserve">Circulair denken kijkt verder dan het gebruik: ook grondstof, productie en einde-leven horen erbij.</w:t>
            </w:r>
          </w:p>
          <w:p>
            <w:pPr>
              <w:pStyle w:val="ListParagraph"/>
              <w:numPr>
                <w:ilvl w:val="0"/>
                <w:numId w:val="3"/>
              </w:numPr>
              <w:spacing w:after="80" w:line="258"/>
            </w:pPr>
            <w:r>
              <w:rPr>
                <w:rFonts w:ascii="Arial" w:cs="Arial" w:eastAsia="Arial" w:hAnsi="Arial"/>
                <w:b/>
                <w:bCs/>
              </w:rPr>
              <w:t xml:space="preserve">Te veel modellen tegelijk. </w:t>
            </w:r>
            <w:r>
              <w:rPr>
                <w:rFonts w:ascii="Arial" w:cs="Arial" w:eastAsia="Arial" w:hAnsi="Arial"/>
              </w:rPr>
              <w:t xml:space="preserve">Kies de modellen die jouw verhaal scherper maken, niet allemaal.</w:t>
            </w:r>
          </w:p>
        </w:tc>
      </w:tr>
    </w:tbl>
    <w:p>
      <w:pPr>
        <w:keepNext/>
        <w:pBdr>
          <w:bottom w:val="single" w:color="E5007D" w:sz="8" w:space="4"/>
        </w:pBdr>
        <w:spacing w:after="140" w:before="360"/>
      </w:pPr>
      <w:r>
        <w:rPr>
          <w:rFonts w:ascii="Arial" w:cs="Arial" w:eastAsia="Arial" w:hAnsi="Arial"/>
          <w:b/>
          <w:bCs/>
          <w:color w:val="E5007D"/>
          <w:sz w:val="28"/>
          <w:szCs w:val="28"/>
        </w:rPr>
        <w:t xml:space="preserve">Mini-voorbeeld</w:t>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CE7F1"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MINI-VOORBEELD · SCHOOLKANTINE</w:t>
            </w:r>
          </w:p>
          <w:p>
            <w:pPr>
              <w:spacing w:after="120" w:before="0" w:line="264"/>
            </w:pPr>
            <w:r>
              <w:rPr>
                <w:rFonts w:ascii="Arial" w:cs="Arial" w:eastAsia="Arial" w:hAnsi="Arial"/>
                <w:b/>
                <w:bCs/>
              </w:rPr>
              <w:t xml:space="preserve">R-ladder: </w:t>
            </w:r>
            <w:r>
              <w:rPr>
                <w:rFonts w:ascii="Arial" w:cs="Arial" w:eastAsia="Arial" w:hAnsi="Arial"/>
              </w:rPr>
              <w:t xml:space="preserve">het duo kiest niet voor recyclen van afval, maar voor verminderen (Reduce): kleinere porties en inkoop op verbruik. Een hoge trede.</w:t>
            </w:r>
          </w:p>
          <w:p>
            <w:pPr>
              <w:spacing w:after="120" w:before="0" w:line="264"/>
            </w:pPr>
            <w:r>
              <w:rPr>
                <w:rFonts w:ascii="Arial" w:cs="Arial" w:eastAsia="Arial" w:hAnsi="Arial"/>
                <w:b/>
                <w:bCs/>
              </w:rPr>
              <w:t xml:space="preserve">Vlinderdiagram: </w:t>
            </w:r>
            <w:r>
              <w:rPr>
                <w:rFonts w:ascii="Arial" w:cs="Arial" w:eastAsia="Arial" w:hAnsi="Arial"/>
              </w:rPr>
              <w:t xml:space="preserve">voedsel zit in de biologische kringloop; reststromen kunnen worden gecomposteerd of vergist in plaats van verbrand.</w:t>
            </w:r>
          </w:p>
          <w:p>
            <w:pPr>
              <w:spacing w:after="0" w:before="0" w:line="264"/>
            </w:pPr>
            <w:r>
              <w:rPr>
                <w:rFonts w:ascii="Arial" w:cs="Arial" w:eastAsia="Arial" w:hAnsi="Arial"/>
                <w:b/>
                <w:bCs/>
              </w:rPr>
              <w:t xml:space="preserve">Value hill: </w:t>
            </w:r>
            <w:r>
              <w:rPr>
                <w:rFonts w:ascii="Arial" w:cs="Arial" w:eastAsia="Arial" w:hAnsi="Arial"/>
              </w:rPr>
              <w:t xml:space="preserve">door beter in te kopen blijft voedsel langer boven (het wordt gegeten) in plaats van als afval weg te zakken.</w:t>
            </w:r>
          </w:p>
        </w:tc>
      </w:tr>
    </w:tbl>
    <w:sectPr>
      <w:headerReference w:type="default" r:id="rId7"/>
      <w:footerReference w:type="default" r:id="rId8"/>
      <w:pgSz w:w="11906" w:h="16838" w:orient="portrait"/>
      <w:pgMar w:top="1300" w:right="1080" w:bottom="1300" w:left="1080"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6" w:space="6"/>
      </w:pBdr>
      <w:tabs>
        <w:tab w:val="right" w:pos="9746"/>
      </w:tabs>
    </w:pPr>
    <w:r>
      <w:rPr>
        <w:rFonts w:ascii="Arial" w:cs="Arial" w:eastAsia="Arial" w:hAnsi="Arial"/>
        <w:color w:val="595959"/>
        <w:sz w:val="16"/>
        <w:szCs w:val="16"/>
      </w:rPr>
      <w:t xml:space="preserve">Minor Circulaire Economie  |  HAN</w:t>
    </w:r>
    <w:r>
      <w:rPr>
        <w:rFonts w:ascii="Arial" w:cs="Arial" w:eastAsia="Arial" w:hAnsi="Arial"/>
        <w:color w:val="5959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007D" w:sz="6" w:space="6"/>
      </w:pBdr>
      <w:tabs>
        <w:tab w:val="right" w:pos="9746"/>
      </w:tabs>
    </w:pPr>
    <w:r>
      <w:rPr>
        <w:rFonts w:ascii="Arial" w:cs="Arial" w:eastAsia="Arial" w:hAnsi="Arial"/>
        <w:b/>
        <w:bCs/>
        <w:color w:val="595959"/>
        <w:sz w:val="16"/>
        <w:szCs w:val="16"/>
      </w:rPr>
      <w:t xml:space="preserve">CE-modellen</w:t>
    </w:r>
    <w:r>
      <w:rPr>
        <w:rFonts w:ascii="Arial" w:cs="Arial" w:eastAsia="Arial" w:hAnsi="Arial"/>
        <w:color w:val="595959"/>
        <w:sz w:val="16"/>
        <w:szCs w:val="16"/>
      </w:rPr>
      <w:t xml:space="preserve">	HULPMIDDEL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E5007D"/>
      </w:rPr>
    </w:lvl>
  </w:abstractNum>
  <w:abstractNum w:abstractNumId="3" w15:restartNumberingAfterBreak="0">
    <w:multiLevelType w:val="hybridMultilevel"/>
    <w:lvl w:ilvl="0" w15:tentative="1">
      <w:start w:val="1"/>
      <w:numFmt w:val="bullet"/>
      <w:lvlText w:val="✓"/>
      <w:lvlJc w:val="left"/>
      <w:pPr>
        <w:ind w:left="460" w:hanging="260"/>
      </w:pPr>
      <w:rPr>
        <w:rFonts w:ascii="Arial" w:cs="Arial" w:eastAsia="Arial" w:hAnsi="Arial"/>
        <w:color w:val="E5007D"/>
      </w:rPr>
    </w:lvl>
  </w:abstractNum>
  <w:abstractNum w:abstractNumId="4" w15:restartNumberingAfterBreak="0">
    <w:multiLevelType w:val="hybridMultilevel"/>
    <w:lvl w:ilvl="0" w15:tentative="1">
      <w:start w:val="1"/>
      <w:numFmt w:val="bullet"/>
      <w:lvlText w:val="—"/>
      <w:lvlJc w:val="left"/>
      <w:pPr>
        <w:ind w:left="460" w:hanging="260"/>
      </w:pPr>
      <w:rPr>
        <w:color w:val="E5007D"/>
      </w:rPr>
    </w:lvl>
  </w:abstractNum>
  <w:abstractNum w:abstractNumId="5" w15:restartNumberingAfterBreak="0">
    <w:multiLevelType w:val="hybridMultilevel"/>
    <w:lvl w:ilvl="0" w15:tentative="1">
      <w:start w:val="1"/>
      <w:numFmt w:val="decimal"/>
      <w:lvlText w:val="%1."/>
      <w:lvlJc w:val="left"/>
      <w:pPr>
        <w:ind w:left="460" w:hanging="360"/>
      </w:pPr>
      <w:rPr>
        <w:b/>
        <w:bCs/>
        <w:color w:val="E5007D"/>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66128de5774d76178912d8b9d3f2076db840c5.png"/><Relationship Id="rId10" Type="http://schemas.openxmlformats.org/officeDocument/2006/relationships/image" Target="media/9c22fe5f6f5e5d9387181c2f7a8d5e840a2b5996.png"/><Relationship Id="rId11" Type="http://schemas.openxmlformats.org/officeDocument/2006/relationships/image" Target="media/b3314a83adef67970785b1fc7abe23429e25c1e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Hulpmiddel 10 CE-modellen</dc:title>
  <dc:creator>Minor Circulaire Economie - HAN</dc:creator>
  <cp:lastModifiedBy>Un-named</cp:lastModifiedBy>
  <cp:revision>1</cp:revision>
  <dcterms:created xsi:type="dcterms:W3CDTF">2026-06-08T11:11:04.059Z</dcterms:created>
  <dcterms:modified xsi:type="dcterms:W3CDTF">2026-06-08T11:11:04.059Z</dcterms:modified>
</cp:coreProperties>
</file>

<file path=docProps/custom.xml><?xml version="1.0" encoding="utf-8"?>
<Properties xmlns="http://schemas.openxmlformats.org/officeDocument/2006/custom-properties" xmlns:vt="http://schemas.openxmlformats.org/officeDocument/2006/docPropsVTypes"/>
</file>