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9B8F04" w14:textId="77777777" w:rsidR="00CA0F7A" w:rsidRDefault="00CA0F7A">
      <w:pPr>
        <w:spacing w:after="40"/>
        <w:jc w:val="center"/>
        <w:rPr>
          <w:b/>
          <w:sz w:val="36"/>
          <w:szCs w:val="24"/>
        </w:rPr>
      </w:pPr>
    </w:p>
    <w:p w14:paraId="792578AA" w14:textId="4D267677" w:rsidR="003C45C9" w:rsidRPr="00CA0F7A" w:rsidRDefault="00000000">
      <w:pPr>
        <w:spacing w:after="40"/>
        <w:jc w:val="center"/>
        <w:rPr>
          <w:sz w:val="24"/>
          <w:szCs w:val="24"/>
        </w:rPr>
      </w:pPr>
      <w:r w:rsidRPr="00CA0F7A">
        <w:rPr>
          <w:b/>
          <w:sz w:val="36"/>
          <w:szCs w:val="24"/>
        </w:rPr>
        <w:t>Agentic AI and Pattern Recognition for Treatment, Payment, and Operations: A Strategic Assessment for Cotiviti</w:t>
      </w:r>
    </w:p>
    <w:p w14:paraId="2D92FD35" w14:textId="77777777" w:rsidR="003C45C9" w:rsidRDefault="00000000">
      <w:pPr>
        <w:jc w:val="center"/>
        <w:rPr>
          <w:i/>
          <w:sz w:val="21"/>
          <w:szCs w:val="24"/>
        </w:rPr>
      </w:pPr>
      <w:r w:rsidRPr="00CA0F7A">
        <w:rPr>
          <w:i/>
          <w:sz w:val="21"/>
          <w:szCs w:val="24"/>
        </w:rPr>
        <w:t xml:space="preserve">Fabian </w:t>
      </w:r>
      <w:proofErr w:type="gramStart"/>
      <w:r w:rsidRPr="00CA0F7A">
        <w:rPr>
          <w:i/>
          <w:sz w:val="21"/>
          <w:szCs w:val="24"/>
        </w:rPr>
        <w:t>Christopher  |</w:t>
      </w:r>
      <w:proofErr w:type="gramEnd"/>
      <w:r w:rsidRPr="00CA0F7A">
        <w:rPr>
          <w:i/>
          <w:sz w:val="21"/>
          <w:szCs w:val="24"/>
        </w:rPr>
        <w:t xml:space="preserve">  Cotiviti Intern Performance-Based Assessment</w:t>
      </w:r>
    </w:p>
    <w:p w14:paraId="48CD1CE4" w14:textId="77777777" w:rsidR="00CA0F7A" w:rsidRPr="00CA0F7A" w:rsidRDefault="00CA0F7A">
      <w:pPr>
        <w:jc w:val="center"/>
        <w:rPr>
          <w:sz w:val="24"/>
          <w:szCs w:val="24"/>
        </w:rPr>
      </w:pPr>
    </w:p>
    <w:p w14:paraId="7B089FDC" w14:textId="77777777" w:rsidR="003C45C9" w:rsidRPr="00CA0F7A" w:rsidRDefault="00000000">
      <w:pPr>
        <w:keepNext/>
        <w:spacing w:before="120" w:after="60"/>
        <w:rPr>
          <w:sz w:val="24"/>
          <w:szCs w:val="24"/>
        </w:rPr>
      </w:pPr>
      <w:r w:rsidRPr="00CA0F7A">
        <w:rPr>
          <w:b/>
          <w:sz w:val="28"/>
          <w:szCs w:val="24"/>
        </w:rPr>
        <w:t>1. Defining the Topic</w:t>
      </w:r>
    </w:p>
    <w:p w14:paraId="14E9B150" w14:textId="0D6199DD" w:rsidR="003C45C9" w:rsidRPr="00CA0F7A" w:rsidRDefault="00000000">
      <w:pPr>
        <w:spacing w:after="120" w:line="240" w:lineRule="auto"/>
        <w:jc w:val="both"/>
        <w:rPr>
          <w:sz w:val="24"/>
          <w:szCs w:val="24"/>
        </w:rPr>
      </w:pPr>
      <w:r w:rsidRPr="00CA0F7A">
        <w:rPr>
          <w:sz w:val="24"/>
          <w:szCs w:val="24"/>
        </w:rPr>
        <w:t xml:space="preserve">Healthcare organizations make decisions constantly: whether a claim should be paid, whether a treatment plan is on track, whether a unit is adequately staffed. “Clinical Decision Making and Pattern Recognition” describes the family of AI techniques used to support those decisions at scale </w:t>
      </w:r>
      <w:r w:rsidR="00CA0F7A">
        <w:rPr>
          <w:sz w:val="24"/>
          <w:szCs w:val="24"/>
        </w:rPr>
        <w:t>-</w:t>
      </w:r>
      <w:r w:rsidRPr="00CA0F7A">
        <w:rPr>
          <w:sz w:val="24"/>
          <w:szCs w:val="24"/>
        </w:rPr>
        <w:t xml:space="preserve"> chain-of-thought reasoning, agentic generative AI, classification, prediction, inference, clustering, and time-series anomaly detection </w:t>
      </w:r>
      <w:r w:rsidR="00CA0F7A">
        <w:rPr>
          <w:sz w:val="24"/>
          <w:szCs w:val="24"/>
        </w:rPr>
        <w:t>-</w:t>
      </w:r>
      <w:r w:rsidRPr="00CA0F7A">
        <w:rPr>
          <w:sz w:val="24"/>
          <w:szCs w:val="24"/>
        </w:rPr>
        <w:t xml:space="preserve"> applied across Treatment, Payment, and Operations (TPO), the same three-part framing Cotiviti itself uses internally (Cotiviti Careers, 2026).</w:t>
      </w:r>
    </w:p>
    <w:p w14:paraId="6443FD3D" w14:textId="4562DE6D" w:rsidR="003C45C9" w:rsidRDefault="00000000">
      <w:pPr>
        <w:spacing w:after="120" w:line="240" w:lineRule="auto"/>
        <w:jc w:val="both"/>
        <w:rPr>
          <w:sz w:val="24"/>
          <w:szCs w:val="24"/>
        </w:rPr>
      </w:pPr>
      <w:r w:rsidRPr="00CA0F7A">
        <w:rPr>
          <w:sz w:val="24"/>
          <w:szCs w:val="24"/>
        </w:rPr>
        <w:t xml:space="preserve">This report focuses on the technique with the most immediate strategic relevance: agentic AI architectures, specifically a Generator–Critic pattern in which one AI agent proposes a decision and a second, independent agent audits that decision before it is treated as final. Unlike a single large model producing one unreviewed answer, this pattern produces a visible reasoning trail and an explicit second check </w:t>
      </w:r>
      <w:r w:rsidR="00CA0F7A">
        <w:rPr>
          <w:sz w:val="24"/>
          <w:szCs w:val="24"/>
        </w:rPr>
        <w:t>-</w:t>
      </w:r>
      <w:r w:rsidRPr="00CA0F7A">
        <w:rPr>
          <w:sz w:val="24"/>
          <w:szCs w:val="24"/>
        </w:rPr>
        <w:t xml:space="preserve"> properties that matter disproportionately in a regulated, appeal-subject domain such as healthcare payment and clinical review. The pattern is commonly paired with lightweight retrieval </w:t>
      </w:r>
      <w:r w:rsidR="00CA0F7A">
        <w:rPr>
          <w:sz w:val="24"/>
          <w:szCs w:val="24"/>
        </w:rPr>
        <w:t>-</w:t>
      </w:r>
      <w:r w:rsidRPr="00CA0F7A">
        <w:rPr>
          <w:sz w:val="24"/>
          <w:szCs w:val="24"/>
        </w:rPr>
        <w:t xml:space="preserve"> grounding each agent’s reasoning in relevant policy or guideline text before it reasons </w:t>
      </w:r>
      <w:r w:rsidR="00CA0F7A">
        <w:rPr>
          <w:sz w:val="24"/>
          <w:szCs w:val="24"/>
        </w:rPr>
        <w:t>-</w:t>
      </w:r>
      <w:r w:rsidRPr="00CA0F7A">
        <w:rPr>
          <w:sz w:val="24"/>
          <w:szCs w:val="24"/>
        </w:rPr>
        <w:t xml:space="preserve"> rather than relying purely on a model’s internal training.</w:t>
      </w:r>
    </w:p>
    <w:p w14:paraId="3C6D8875" w14:textId="77777777" w:rsidR="00CA0F7A" w:rsidRPr="00CA0F7A" w:rsidRDefault="00CA0F7A">
      <w:pPr>
        <w:spacing w:after="120" w:line="240" w:lineRule="auto"/>
        <w:jc w:val="both"/>
        <w:rPr>
          <w:sz w:val="24"/>
          <w:szCs w:val="24"/>
        </w:rPr>
      </w:pPr>
    </w:p>
    <w:p w14:paraId="1F56E953" w14:textId="77777777" w:rsidR="003C45C9" w:rsidRPr="00CA0F7A" w:rsidRDefault="00000000">
      <w:pPr>
        <w:keepNext/>
        <w:spacing w:before="120" w:after="60"/>
        <w:rPr>
          <w:sz w:val="24"/>
          <w:szCs w:val="24"/>
        </w:rPr>
      </w:pPr>
      <w:r w:rsidRPr="00CA0F7A">
        <w:rPr>
          <w:b/>
          <w:sz w:val="28"/>
          <w:szCs w:val="24"/>
        </w:rPr>
        <w:t>2. Relevant Trends</w:t>
      </w:r>
    </w:p>
    <w:p w14:paraId="6441D8A9" w14:textId="5CA83154" w:rsidR="003C45C9" w:rsidRPr="00CA0F7A" w:rsidRDefault="00000000">
      <w:pPr>
        <w:spacing w:after="120" w:line="240" w:lineRule="auto"/>
        <w:jc w:val="both"/>
        <w:rPr>
          <w:sz w:val="24"/>
          <w:szCs w:val="24"/>
        </w:rPr>
      </w:pPr>
      <w:r w:rsidRPr="00CA0F7A">
        <w:rPr>
          <w:sz w:val="24"/>
          <w:szCs w:val="24"/>
        </w:rPr>
        <w:t xml:space="preserve">Three converging trends make this topic timely for Cotiviti specifically. First, the industry is visibly moving from prepay and postpay claim review as two separate processes toward unified, earlier review </w:t>
      </w:r>
      <w:r w:rsidR="00CA0F7A">
        <w:rPr>
          <w:sz w:val="24"/>
          <w:szCs w:val="24"/>
        </w:rPr>
        <w:t>-</w:t>
      </w:r>
      <w:r w:rsidRPr="00CA0F7A">
        <w:rPr>
          <w:sz w:val="24"/>
          <w:szCs w:val="24"/>
        </w:rPr>
        <w:t xml:space="preserve"> a shift Cotiviti’s own research has documented (Cotiviti, 2021) </w:t>
      </w:r>
      <w:r w:rsidR="00CA0F7A">
        <w:rPr>
          <w:sz w:val="24"/>
          <w:szCs w:val="24"/>
        </w:rPr>
        <w:t>-</w:t>
      </w:r>
      <w:r w:rsidRPr="00CA0F7A">
        <w:rPr>
          <w:sz w:val="24"/>
          <w:szCs w:val="24"/>
        </w:rPr>
        <w:t xml:space="preserve"> and its flagship Claim Pattern Review and 360 Pattern Review products already use AI to flag fraud, waste, and abuse before payment (Cotiviti, n.d.-a).</w:t>
      </w:r>
    </w:p>
    <w:p w14:paraId="4D21BE7C" w14:textId="77777777" w:rsidR="003C45C9" w:rsidRPr="00CA0F7A" w:rsidRDefault="00000000">
      <w:pPr>
        <w:spacing w:after="120" w:line="240" w:lineRule="auto"/>
        <w:jc w:val="both"/>
        <w:rPr>
          <w:sz w:val="24"/>
          <w:szCs w:val="24"/>
        </w:rPr>
      </w:pPr>
      <w:r w:rsidRPr="00CA0F7A">
        <w:rPr>
          <w:sz w:val="24"/>
          <w:szCs w:val="24"/>
        </w:rPr>
        <w:t>Second, generative and agentic AI adoption in healthcare operations is accelerating but remains deliberately cautious. Cotiviti’s own job postings describe active research into agentic AI for Treatment, Payment, and Operations use cases (Cotiviti Careers, 2026), and Chief Technology Officer Suvajit Gupta has publicly framed the company’s AI strategy as augmenting, not replacing, human expertise (itdigest, 2024). This caution is well founded: a single false flag in a regulated payment-integrity workflow carries real cost, which is exactly why multi-agent review, rather than single-model automation, is the more defensible near-term architecture.</w:t>
      </w:r>
    </w:p>
    <w:p w14:paraId="229574E3" w14:textId="77777777" w:rsidR="003C45C9" w:rsidRPr="00CA0F7A" w:rsidRDefault="00000000">
      <w:pPr>
        <w:spacing w:after="120" w:line="240" w:lineRule="auto"/>
        <w:jc w:val="both"/>
        <w:rPr>
          <w:sz w:val="24"/>
          <w:szCs w:val="24"/>
        </w:rPr>
      </w:pPr>
      <w:r w:rsidRPr="00CA0F7A">
        <w:rPr>
          <w:sz w:val="24"/>
          <w:szCs w:val="24"/>
        </w:rPr>
        <w:t>Third, Cotiviti is actively consolidating its platform. The 2025 acquisition of Edifecs (Cotiviti, 2025; GeekWire, 2025) signals a strategic move toward unifying payment accuracy, risk adjustment, quality, and interoperability into one connected platform, and new Chief Executive Officer Ric Sinclair has publicly described his vision as a “frictionless ecosystem” (InsurTech Digital, 2026). An agentic review layer is a natural fit for that unification: the same pattern can sit across payment, coding, and quality workflows rather than being rebuilt separately for each.</w:t>
      </w:r>
    </w:p>
    <w:p w14:paraId="5AB1FA23" w14:textId="77777777" w:rsidR="003C45C9" w:rsidRPr="00CA0F7A" w:rsidRDefault="00000000">
      <w:pPr>
        <w:keepNext/>
        <w:spacing w:before="120" w:after="60"/>
        <w:rPr>
          <w:sz w:val="24"/>
          <w:szCs w:val="24"/>
        </w:rPr>
      </w:pPr>
      <w:r w:rsidRPr="00CA0F7A">
        <w:rPr>
          <w:b/>
          <w:sz w:val="28"/>
          <w:szCs w:val="24"/>
        </w:rPr>
        <w:lastRenderedPageBreak/>
        <w:t>3. Opportunities and Threats</w:t>
      </w:r>
    </w:p>
    <w:p w14:paraId="78D5EA1A" w14:textId="34459516" w:rsidR="003C45C9" w:rsidRPr="00CA0F7A" w:rsidRDefault="00000000">
      <w:pPr>
        <w:spacing w:after="120" w:line="240" w:lineRule="auto"/>
        <w:jc w:val="both"/>
        <w:rPr>
          <w:sz w:val="24"/>
          <w:szCs w:val="24"/>
        </w:rPr>
      </w:pPr>
      <w:r w:rsidRPr="00CA0F7A">
        <w:rPr>
          <w:b/>
          <w:sz w:val="24"/>
          <w:szCs w:val="24"/>
        </w:rPr>
        <w:t xml:space="preserve">Opportunities. </w:t>
      </w:r>
      <w:r w:rsidRPr="00CA0F7A">
        <w:rPr>
          <w:sz w:val="24"/>
          <w:szCs w:val="24"/>
        </w:rPr>
        <w:t xml:space="preserve">A Generator–Critic agent layer offers three concrete advantages. It produces an explainable, two-step reasoning trail for every flagged claim or coding decision </w:t>
      </w:r>
      <w:r w:rsidR="00CA0F7A">
        <w:rPr>
          <w:sz w:val="24"/>
          <w:szCs w:val="24"/>
        </w:rPr>
        <w:t>-</w:t>
      </w:r>
      <w:r w:rsidRPr="00CA0F7A">
        <w:rPr>
          <w:sz w:val="24"/>
          <w:szCs w:val="24"/>
        </w:rPr>
        <w:t xml:space="preserve"> directly useful for the audit defensibility regulated payment-integrity work requires. It is domain-agnostic: the same architecture that reviews a claim can review a risk-adjustment coding decision or a quality measure, aligning with the platform-unification direction signaled by the Edifecs acquisition. And it preserves Cotiviti’s stated impact </w:t>
      </w:r>
      <w:r w:rsidR="00CA0F7A">
        <w:rPr>
          <w:sz w:val="24"/>
          <w:szCs w:val="24"/>
        </w:rPr>
        <w:t>-</w:t>
      </w:r>
      <w:r w:rsidRPr="00CA0F7A">
        <w:rPr>
          <w:sz w:val="24"/>
          <w:szCs w:val="24"/>
        </w:rPr>
        <w:t xml:space="preserve"> eliminating over $9.5 billion in payment waste in 2024 alone (Cotiviti, n.d.-b) </w:t>
      </w:r>
      <w:r w:rsidR="00CA0F7A">
        <w:rPr>
          <w:sz w:val="24"/>
          <w:szCs w:val="24"/>
        </w:rPr>
        <w:t>-</w:t>
      </w:r>
      <w:r w:rsidRPr="00CA0F7A">
        <w:rPr>
          <w:sz w:val="24"/>
          <w:szCs w:val="24"/>
        </w:rPr>
        <w:t xml:space="preserve"> while adding a self-checking layer that reduces the risk of an unreviewed AI decision causing a costly false positive.</w:t>
      </w:r>
    </w:p>
    <w:p w14:paraId="4182DC09" w14:textId="68428109" w:rsidR="003C45C9" w:rsidRDefault="00000000">
      <w:pPr>
        <w:spacing w:after="120" w:line="240" w:lineRule="auto"/>
        <w:jc w:val="both"/>
        <w:rPr>
          <w:sz w:val="24"/>
          <w:szCs w:val="24"/>
        </w:rPr>
      </w:pPr>
      <w:r w:rsidRPr="00CA0F7A">
        <w:rPr>
          <w:b/>
          <w:sz w:val="24"/>
          <w:szCs w:val="24"/>
        </w:rPr>
        <w:t xml:space="preserve">Threats. </w:t>
      </w:r>
      <w:r w:rsidRPr="00CA0F7A">
        <w:rPr>
          <w:sz w:val="24"/>
          <w:szCs w:val="24"/>
        </w:rPr>
        <w:t xml:space="preserve">The same properties that make generative AI valuable also introduce real risk in this domain. Large language models can produce confident, well-reasoned-sounding output that is nonetheless factually wrong </w:t>
      </w:r>
      <w:r w:rsidR="00CA0F7A">
        <w:rPr>
          <w:sz w:val="24"/>
          <w:szCs w:val="24"/>
        </w:rPr>
        <w:t>-</w:t>
      </w:r>
      <w:r w:rsidRPr="00CA0F7A">
        <w:rPr>
          <w:sz w:val="24"/>
          <w:szCs w:val="24"/>
        </w:rPr>
        <w:t xml:space="preserve"> unacceptable when the output determines whether a real payment is withheld or a patient’s risk score is adjusted. Over-reliance on AI output without a genuinely independent audit step, as opposed to a second model simply re-confirming the first, would reintroduce the very risk the architecture is meant to solve. Finally, dependence on a single external model vendor introduces commercial and continuity risk that any production deployment must plan for explicitly.</w:t>
      </w:r>
    </w:p>
    <w:p w14:paraId="6D6D62A0" w14:textId="77777777" w:rsidR="00CA0F7A" w:rsidRPr="00CA0F7A" w:rsidRDefault="00CA0F7A">
      <w:pPr>
        <w:spacing w:after="120" w:line="240" w:lineRule="auto"/>
        <w:jc w:val="both"/>
        <w:rPr>
          <w:sz w:val="24"/>
          <w:szCs w:val="24"/>
        </w:rPr>
      </w:pPr>
    </w:p>
    <w:p w14:paraId="54401105" w14:textId="77777777" w:rsidR="003C45C9" w:rsidRPr="00CA0F7A" w:rsidRDefault="00000000">
      <w:pPr>
        <w:keepNext/>
        <w:spacing w:before="120" w:after="60"/>
        <w:rPr>
          <w:sz w:val="24"/>
          <w:szCs w:val="24"/>
        </w:rPr>
      </w:pPr>
      <w:r w:rsidRPr="00CA0F7A">
        <w:rPr>
          <w:b/>
          <w:sz w:val="28"/>
          <w:szCs w:val="24"/>
        </w:rPr>
        <w:t>4. Recommended Options for Cotiviti</w:t>
      </w:r>
    </w:p>
    <w:p w14:paraId="7DDE9057" w14:textId="5E5467D2" w:rsidR="00CA0F7A" w:rsidRDefault="00000000">
      <w:pPr>
        <w:spacing w:after="120" w:line="240" w:lineRule="auto"/>
        <w:jc w:val="both"/>
        <w:rPr>
          <w:sz w:val="24"/>
          <w:szCs w:val="24"/>
        </w:rPr>
      </w:pPr>
      <w:r w:rsidRPr="00CA0F7A">
        <w:rPr>
          <w:sz w:val="24"/>
          <w:szCs w:val="24"/>
        </w:rPr>
        <w:t>Based on the trends and risk profile above, three scoped options are worth exploring, spanning an immediate pilot, a broader extension, and a longer-term architectural principle:</w:t>
      </w:r>
    </w:p>
    <w:p w14:paraId="48652420" w14:textId="77777777" w:rsidR="00CA0F7A" w:rsidRPr="00CA0F7A" w:rsidRDefault="00CA0F7A">
      <w:pPr>
        <w:spacing w:after="120" w:line="240" w:lineRule="auto"/>
        <w:jc w:val="both"/>
        <w:rPr>
          <w:sz w:val="24"/>
          <w:szCs w:val="24"/>
        </w:rPr>
      </w:pPr>
    </w:p>
    <w:p w14:paraId="1952E26B" w14:textId="40AFC34A" w:rsidR="003C45C9" w:rsidRPr="00CA0F7A" w:rsidRDefault="00000000">
      <w:pPr>
        <w:pStyle w:val="ListNumber"/>
        <w:spacing w:after="80" w:line="240" w:lineRule="auto"/>
        <w:rPr>
          <w:sz w:val="24"/>
          <w:szCs w:val="24"/>
        </w:rPr>
      </w:pPr>
      <w:r w:rsidRPr="00CA0F7A">
        <w:rPr>
          <w:sz w:val="24"/>
          <w:szCs w:val="24"/>
        </w:rPr>
        <w:t xml:space="preserve">Pilot a Generator–Critic agent layer as an explainability overlay on an existing prepay fraud, waste, and abuse workflow (e.g., Claim Pattern Review), where the second agent’s explicit role is to critique and justify, not merely re-score, the first agent’s flag </w:t>
      </w:r>
      <w:r w:rsidR="00CA0F7A">
        <w:rPr>
          <w:sz w:val="24"/>
          <w:szCs w:val="24"/>
        </w:rPr>
        <w:t>-</w:t>
      </w:r>
      <w:r w:rsidRPr="00CA0F7A">
        <w:rPr>
          <w:sz w:val="24"/>
          <w:szCs w:val="24"/>
        </w:rPr>
        <w:t xml:space="preserve"> producing a written audit trail for reviewers and regulators.</w:t>
      </w:r>
    </w:p>
    <w:p w14:paraId="1BC4D108" w14:textId="77777777" w:rsidR="003C45C9" w:rsidRPr="00CA0F7A" w:rsidRDefault="00000000">
      <w:pPr>
        <w:pStyle w:val="ListNumber"/>
        <w:spacing w:after="80" w:line="240" w:lineRule="auto"/>
        <w:rPr>
          <w:sz w:val="24"/>
          <w:szCs w:val="24"/>
        </w:rPr>
      </w:pPr>
      <w:r w:rsidRPr="00CA0F7A">
        <w:rPr>
          <w:sz w:val="24"/>
          <w:szCs w:val="24"/>
        </w:rPr>
        <w:t>Extend the same architectural pattern, not a specific implementation, to risk-adjustment coding review (e.g., Second Level Review), since propose-then-independently-audit is domain-agnostic and would let Cotiviti reuse engineering investment across payment and coding workflows.</w:t>
      </w:r>
    </w:p>
    <w:p w14:paraId="6893CF2F" w14:textId="1F81E2F4" w:rsidR="003C45C9" w:rsidRDefault="00000000">
      <w:pPr>
        <w:pStyle w:val="ListNumber"/>
        <w:spacing w:after="80" w:line="240" w:lineRule="auto"/>
        <w:rPr>
          <w:sz w:val="24"/>
          <w:szCs w:val="24"/>
        </w:rPr>
      </w:pPr>
      <w:r w:rsidRPr="00CA0F7A">
        <w:rPr>
          <w:sz w:val="24"/>
          <w:szCs w:val="24"/>
        </w:rPr>
        <w:t xml:space="preserve">Invest in lightweight, transparent retrieval </w:t>
      </w:r>
      <w:r w:rsidR="00CA0F7A">
        <w:rPr>
          <w:sz w:val="24"/>
          <w:szCs w:val="24"/>
        </w:rPr>
        <w:t>-</w:t>
      </w:r>
      <w:r w:rsidRPr="00CA0F7A">
        <w:rPr>
          <w:sz w:val="24"/>
          <w:szCs w:val="24"/>
        </w:rPr>
        <w:t xml:space="preserve"> matching records against a curated, auditable set of policy or guideline snippets </w:t>
      </w:r>
      <w:r w:rsidR="00CA0F7A">
        <w:rPr>
          <w:sz w:val="24"/>
          <w:szCs w:val="24"/>
        </w:rPr>
        <w:t>-</w:t>
      </w:r>
      <w:r w:rsidRPr="00CA0F7A">
        <w:rPr>
          <w:sz w:val="24"/>
          <w:szCs w:val="24"/>
        </w:rPr>
        <w:t xml:space="preserve"> before committing to heavier vector-database infrastructure. At Cotiviti’s actual document scale, simple, explainable retrieval may outperform a more complex system on the audit-defensibility dimension that matters most in this domain, while remaining easy to upgrade to a full vector store </w:t>
      </w:r>
      <w:proofErr w:type="gramStart"/>
      <w:r w:rsidRPr="00CA0F7A">
        <w:rPr>
          <w:sz w:val="24"/>
          <w:szCs w:val="24"/>
        </w:rPr>
        <w:t>if and when</w:t>
      </w:r>
      <w:proofErr w:type="gramEnd"/>
      <w:r w:rsidRPr="00CA0F7A">
        <w:rPr>
          <w:sz w:val="24"/>
          <w:szCs w:val="24"/>
        </w:rPr>
        <w:t xml:space="preserve"> scale demands it.</w:t>
      </w:r>
    </w:p>
    <w:p w14:paraId="43B15B2A" w14:textId="77777777" w:rsidR="00CA0F7A" w:rsidRPr="00CA0F7A" w:rsidRDefault="00CA0F7A" w:rsidP="00CA0F7A">
      <w:pPr>
        <w:pStyle w:val="ListNumber"/>
        <w:numPr>
          <w:ilvl w:val="0"/>
          <w:numId w:val="0"/>
        </w:numPr>
        <w:spacing w:after="80" w:line="240" w:lineRule="auto"/>
        <w:ind w:left="360"/>
        <w:rPr>
          <w:sz w:val="24"/>
          <w:szCs w:val="24"/>
        </w:rPr>
      </w:pPr>
    </w:p>
    <w:p w14:paraId="09802F85" w14:textId="77777777" w:rsidR="003C45C9" w:rsidRPr="00CA0F7A" w:rsidRDefault="00000000">
      <w:pPr>
        <w:spacing w:after="120" w:line="240" w:lineRule="auto"/>
        <w:jc w:val="both"/>
        <w:rPr>
          <w:sz w:val="24"/>
          <w:szCs w:val="24"/>
        </w:rPr>
      </w:pPr>
      <w:r w:rsidRPr="00CA0F7A">
        <w:rPr>
          <w:sz w:val="24"/>
          <w:szCs w:val="24"/>
        </w:rPr>
        <w:t>These recommendations are informed by direct, hands-on experience building exactly this pattern: a two-agent, retrieval-grounded reasoning pipeline for healthcare records spanning Treatment, Payment, and Operations, developed as a working proof of concept accompanying this report.</w:t>
      </w:r>
    </w:p>
    <w:p w14:paraId="15ABB4F2" w14:textId="77777777" w:rsidR="003C45C9" w:rsidRPr="00CA0F7A" w:rsidRDefault="00000000">
      <w:pPr>
        <w:rPr>
          <w:sz w:val="24"/>
          <w:szCs w:val="24"/>
        </w:rPr>
      </w:pPr>
      <w:r w:rsidRPr="00CA0F7A">
        <w:rPr>
          <w:sz w:val="24"/>
          <w:szCs w:val="24"/>
        </w:rPr>
        <w:br w:type="page"/>
      </w:r>
    </w:p>
    <w:p w14:paraId="77496128" w14:textId="33F645DF" w:rsidR="003C45C9" w:rsidRDefault="00000000">
      <w:pPr>
        <w:spacing w:after="40"/>
        <w:jc w:val="center"/>
        <w:rPr>
          <w:b/>
          <w:sz w:val="36"/>
          <w:szCs w:val="28"/>
        </w:rPr>
      </w:pPr>
      <w:r w:rsidRPr="00CA0F7A">
        <w:rPr>
          <w:b/>
          <w:sz w:val="36"/>
          <w:szCs w:val="28"/>
        </w:rPr>
        <w:lastRenderedPageBreak/>
        <w:t>References</w:t>
      </w:r>
    </w:p>
    <w:p w14:paraId="71D178D2" w14:textId="77777777" w:rsidR="00CA0F7A" w:rsidRPr="00CA0F7A" w:rsidRDefault="00CA0F7A">
      <w:pPr>
        <w:spacing w:after="40"/>
        <w:jc w:val="center"/>
        <w:rPr>
          <w:sz w:val="28"/>
          <w:szCs w:val="28"/>
        </w:rPr>
      </w:pPr>
    </w:p>
    <w:p w14:paraId="5521330A" w14:textId="77777777" w:rsidR="003C45C9" w:rsidRPr="00CA0F7A" w:rsidRDefault="00000000">
      <w:pPr>
        <w:spacing w:after="160"/>
        <w:ind w:left="720" w:hanging="720"/>
        <w:rPr>
          <w:sz w:val="28"/>
          <w:szCs w:val="28"/>
        </w:rPr>
      </w:pPr>
      <w:r w:rsidRPr="00CA0F7A">
        <w:rPr>
          <w:sz w:val="24"/>
          <w:szCs w:val="28"/>
        </w:rPr>
        <w:t>Cotiviti. (n.d.-a). Claim Pattern Review™. Cotiviti. https://www.cotiviti.com/solutions/payment-accuracy/claim-pattern-review</w:t>
      </w:r>
    </w:p>
    <w:p w14:paraId="75AFFC0B" w14:textId="77777777" w:rsidR="003C45C9" w:rsidRPr="00CA0F7A" w:rsidRDefault="00000000">
      <w:pPr>
        <w:spacing w:after="160"/>
        <w:ind w:left="720" w:hanging="720"/>
        <w:rPr>
          <w:sz w:val="28"/>
          <w:szCs w:val="28"/>
        </w:rPr>
      </w:pPr>
      <w:r w:rsidRPr="00CA0F7A">
        <w:rPr>
          <w:sz w:val="24"/>
          <w:szCs w:val="28"/>
        </w:rPr>
        <w:t>Cotiviti. (n.d.-b). Payment accuracy solutions brochure. Cotiviti. https://resources.cotiviti.com/payment-integrity/payment-accuracy-solutions-brochure</w:t>
      </w:r>
    </w:p>
    <w:p w14:paraId="7B652409" w14:textId="77777777" w:rsidR="003C45C9" w:rsidRPr="00CA0F7A" w:rsidRDefault="00000000">
      <w:pPr>
        <w:spacing w:after="160"/>
        <w:ind w:left="720" w:hanging="720"/>
        <w:rPr>
          <w:sz w:val="28"/>
          <w:szCs w:val="28"/>
        </w:rPr>
      </w:pPr>
      <w:r w:rsidRPr="00CA0F7A">
        <w:rPr>
          <w:sz w:val="24"/>
          <w:szCs w:val="28"/>
        </w:rPr>
        <w:t>Cotiviti. (2021, July 6). New Cotiviti research captures healthcare payer shift from postpay to prepay claim integrity. Business Wire. https://www.businesswire.com/news/home/20210706005069/en/New-Cotiviti-Research-Captures-Healthcare-Payer-Shift-from-Postpay-to-Prepay-Claim-Integrity</w:t>
      </w:r>
    </w:p>
    <w:p w14:paraId="722458A4" w14:textId="77777777" w:rsidR="003C45C9" w:rsidRPr="00CA0F7A" w:rsidRDefault="00000000">
      <w:pPr>
        <w:spacing w:after="160"/>
        <w:ind w:left="720" w:hanging="720"/>
        <w:rPr>
          <w:sz w:val="28"/>
          <w:szCs w:val="28"/>
        </w:rPr>
      </w:pPr>
      <w:r w:rsidRPr="00CA0F7A">
        <w:rPr>
          <w:sz w:val="24"/>
          <w:szCs w:val="28"/>
        </w:rPr>
        <w:t>Cotiviti. (2025, March 31). Cotiviti completes acquisition of Edifecs [Press release]. https://www.cotiviti.com/press-release/cotiviti-completes-acquisition-of-edifecs</w:t>
      </w:r>
    </w:p>
    <w:p w14:paraId="776970A7" w14:textId="77777777" w:rsidR="003C45C9" w:rsidRPr="00CA0F7A" w:rsidRDefault="00000000">
      <w:pPr>
        <w:spacing w:after="160"/>
        <w:ind w:left="720" w:hanging="720"/>
        <w:rPr>
          <w:sz w:val="28"/>
          <w:szCs w:val="28"/>
        </w:rPr>
      </w:pPr>
      <w:r w:rsidRPr="00CA0F7A">
        <w:rPr>
          <w:sz w:val="24"/>
          <w:szCs w:val="28"/>
        </w:rPr>
        <w:t>Cotiviti Careers. (2026). Intern – Generative AI, Agentic AI, Research [Job posting]. iCIMS. https://careers-cotiviti.icims.com/jobs/18929/intern---generative-ai-agentic-ai-research/job</w:t>
      </w:r>
    </w:p>
    <w:p w14:paraId="2313B839" w14:textId="77777777" w:rsidR="003C45C9" w:rsidRPr="00CA0F7A" w:rsidRDefault="00000000">
      <w:pPr>
        <w:spacing w:after="160"/>
        <w:ind w:left="720" w:hanging="720"/>
        <w:rPr>
          <w:sz w:val="28"/>
          <w:szCs w:val="28"/>
        </w:rPr>
      </w:pPr>
      <w:r w:rsidRPr="00CA0F7A">
        <w:rPr>
          <w:sz w:val="24"/>
          <w:szCs w:val="28"/>
        </w:rPr>
        <w:t>GeekWire. (2025, February 10). Healthcare payments giant Cotiviti to acquire data interoperability company Edifecs. https://www.geekwire.com/2025/healthcare-payments-giant-cotiviti-to-acquire-data-interoperability-company-edifecs/</w:t>
      </w:r>
    </w:p>
    <w:p w14:paraId="468F186E" w14:textId="77777777" w:rsidR="003C45C9" w:rsidRPr="00CA0F7A" w:rsidRDefault="00000000">
      <w:pPr>
        <w:spacing w:after="160"/>
        <w:ind w:left="720" w:hanging="720"/>
        <w:rPr>
          <w:sz w:val="28"/>
          <w:szCs w:val="28"/>
        </w:rPr>
      </w:pPr>
      <w:r w:rsidRPr="00CA0F7A">
        <w:rPr>
          <w:sz w:val="24"/>
          <w:szCs w:val="28"/>
        </w:rPr>
        <w:t>InsurTech Digital. (2026, March). How Ric Sinclair will drive growth at Cotiviti as CEO. https://insurtechdigital.com/news/cotiviti-appoints-ric-sinclair-as-ceo-to-drive-growth</w:t>
      </w:r>
    </w:p>
    <w:p w14:paraId="7AA916DD" w14:textId="77777777" w:rsidR="003C45C9" w:rsidRPr="00CA0F7A" w:rsidRDefault="00000000">
      <w:pPr>
        <w:spacing w:after="160"/>
        <w:ind w:left="720" w:hanging="720"/>
        <w:rPr>
          <w:sz w:val="28"/>
          <w:szCs w:val="28"/>
        </w:rPr>
      </w:pPr>
      <w:r w:rsidRPr="00CA0F7A">
        <w:rPr>
          <w:sz w:val="24"/>
          <w:szCs w:val="28"/>
        </w:rPr>
        <w:t>itdigest. (2024, December). Cotiviti appoints Suvajit Gupta as CTO. https://itdigest.com/healthtech/healthcare-analytics/cotiviti-appoints-suvajit-gupta-as-cto/</w:t>
      </w:r>
    </w:p>
    <w:p>
      <w:pPr>
        <w:spacing w:before="280" w:after="80"/>
      </w:pPr>
      <w:r>
        <w:rPr>
          <w:b/>
          <w:sz w:val="24"/>
        </w:rPr>
        <w:t>AI Tool Use Disclosure</w:t>
      </w:r>
    </w:p>
    <w:p>
      <w:pPr>
        <w:spacing w:after="80"/>
        <w:jc w:val="both"/>
      </w:pPr>
      <w:r>
        <w:rPr>
          <w:sz w:val="21"/>
        </w:rPr>
        <w:t>Development of this report and its accompanying proof-of-concept application made use of AI-assisted tools, including GitHub Copilot and Claude (Anthropic) for code development assistance, and Google Search for research. Separately, and as already described in this report and the accompanying project documentation, the proof-of-concept's Analyst and Auditor agents are themselves powered by the Anthropic Claude API as their underlying large language model.</w:t>
      </w:r>
    </w:p>
    <w:sectPr w:rsidR="003C45C9" w:rsidRPr="00CA0F7A"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3306651">
    <w:abstractNumId w:val="8"/>
  </w:num>
  <w:num w:numId="2" w16cid:durableId="1772043631">
    <w:abstractNumId w:val="6"/>
  </w:num>
  <w:num w:numId="3" w16cid:durableId="1114133063">
    <w:abstractNumId w:val="5"/>
  </w:num>
  <w:num w:numId="4" w16cid:durableId="1747534691">
    <w:abstractNumId w:val="4"/>
  </w:num>
  <w:num w:numId="5" w16cid:durableId="1615286320">
    <w:abstractNumId w:val="7"/>
  </w:num>
  <w:num w:numId="6" w16cid:durableId="1402826033">
    <w:abstractNumId w:val="3"/>
  </w:num>
  <w:num w:numId="7" w16cid:durableId="336733235">
    <w:abstractNumId w:val="2"/>
  </w:num>
  <w:num w:numId="8" w16cid:durableId="2060862826">
    <w:abstractNumId w:val="1"/>
  </w:num>
  <w:num w:numId="9" w16cid:durableId="6153302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5C9"/>
    <w:rsid w:val="00AA1D8D"/>
    <w:rsid w:val="00B47730"/>
    <w:rsid w:val="00CA0F7A"/>
    <w:rsid w:val="00CB0664"/>
    <w:rsid w:val="00EF7D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2439A"/>
  <w14:defaultImageDpi w14:val="300"/>
  <w15:docId w15:val="{15D2EE4C-6F67-724B-B131-421F27229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968</Words>
  <Characters>6728</Characters>
  <Application>Microsoft Office Word</Application>
  <DocSecurity>0</DocSecurity>
  <Lines>87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 Christopher -</cp:lastModifiedBy>
  <cp:revision>2</cp:revision>
  <dcterms:created xsi:type="dcterms:W3CDTF">2013-12-23T23:15:00Z</dcterms:created>
  <dcterms:modified xsi:type="dcterms:W3CDTF">2026-06-29T09:13:00Z</dcterms:modified>
  <cp:category/>
</cp:coreProperties>
</file>