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1F169698" w:rsidR="008A245F" w:rsidRDefault="008A245F" w:rsidP="001A07BD">
      <w:pPr>
        <w:spacing w:line="360" w:lineRule="auto"/>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w:t>
      </w:r>
      <w:r w:rsidR="008B5B71">
        <w:rPr>
          <w:rFonts w:ascii="Garamond" w:hAnsi="Garamond"/>
          <w:lang w:val="en-US"/>
        </w:rPr>
        <w:t xml:space="preserve">drawing on </w:t>
      </w:r>
      <w:r w:rsidR="00ED53FD">
        <w:rPr>
          <w:rFonts w:ascii="Garamond" w:hAnsi="Garamond"/>
          <w:lang w:val="en-US"/>
        </w:rPr>
        <w:t xml:space="preserve">existing studies, this research </w:t>
      </w:r>
      <w:r w:rsidR="008B5B71">
        <w:rPr>
          <w:rFonts w:ascii="Garamond" w:hAnsi="Garamond"/>
          <w:lang w:val="en-US"/>
        </w:rPr>
        <w:t>formulates hypotheses on public attitudes toward naturalization applicants. These hypotheses are tested using vignettes of h</w:t>
      </w:r>
      <w:r w:rsidR="00C213DB">
        <w:rPr>
          <w:rFonts w:ascii="Garamond" w:hAnsi="Garamond"/>
          <w:lang w:val="en-US"/>
        </w:rPr>
        <w:t xml:space="preserve">ypothetical naturalization applicants in a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70960FF"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4D2E515C" w:rsid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015DC6" w:rsidRPr="00015DC6">
        <w:rPr>
          <w:rFonts w:ascii="Garamond" w:hAnsi="Garamond"/>
          <w:lang w:val="en-US"/>
        </w:rPr>
        <w:t xml:space="preserve">. </w:t>
      </w:r>
      <w:r w:rsidR="001E7F8E">
        <w:rPr>
          <w:rFonts w:ascii="Garamond" w:hAnsi="Garamond"/>
          <w:lang w:val="en-US"/>
        </w:rPr>
        <w:t xml:space="preserve">However, in contrast to the global trend, Germany has maintained a commitment to the principle of avoiding dual citizenship </w:t>
      </w:r>
      <w:r w:rsidR="001E7F8E">
        <w:rPr>
          <w:rFonts w:ascii="Garamond" w:hAnsi="Garamond"/>
          <w:lang w:val="en-US"/>
        </w:rPr>
        <w:fldChar w:fldCharType="begin"/>
      </w:r>
      <w:r w:rsidR="001E7F8E">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1E7F8E">
        <w:rPr>
          <w:rFonts w:ascii="Garamond" w:hAnsi="Garamond"/>
          <w:lang w:val="en-US"/>
        </w:rPr>
        <w:fldChar w:fldCharType="separate"/>
      </w:r>
      <w:r w:rsidR="001E7F8E">
        <w:rPr>
          <w:rFonts w:ascii="Garamond" w:hAnsi="Garamond"/>
          <w:noProof/>
          <w:lang w:val="en-US"/>
        </w:rPr>
        <w:t>(Gerdes, Faist, and Rieple 2007; Palmowski 2008)</w:t>
      </w:r>
      <w:r w:rsidR="001E7F8E">
        <w:rPr>
          <w:rFonts w:ascii="Garamond" w:hAnsi="Garamond"/>
          <w:lang w:val="en-US"/>
        </w:rPr>
        <w:fldChar w:fldCharType="end"/>
      </w:r>
      <w:r w:rsidR="001E7F8E">
        <w:rPr>
          <w:rFonts w:ascii="Garamond" w:hAnsi="Garamond"/>
          <w:lang w:val="en-US"/>
        </w:rPr>
        <w:t>.</w:t>
      </w:r>
      <w:r w:rsidR="007E4DBF">
        <w:rPr>
          <w:rStyle w:val="Funotenzeichen"/>
          <w:rFonts w:ascii="Garamond" w:hAnsi="Garamond"/>
          <w:lang w:val="en-US"/>
        </w:rPr>
        <w:footnoteReference w:id="1"/>
      </w:r>
      <w:r w:rsidR="001E7F8E">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r w:rsidR="00D73652">
        <w:rPr>
          <w:rFonts w:ascii="Garamond" w:hAnsi="Garamond"/>
          <w:lang w:val="en-US"/>
        </w:rPr>
        <w:t xml:space="preserve">These changes not only reflect alterations in legislation but also propel the broader society into a discourse on membership criteria. </w:t>
      </w:r>
    </w:p>
    <w:p w14:paraId="0B5DB898" w14:textId="765ED7BD" w:rsidR="00015DC6" w:rsidRDefault="003B0352" w:rsidP="001358AF">
      <w:pPr>
        <w:spacing w:after="200" w:line="360" w:lineRule="auto"/>
        <w:jc w:val="both"/>
        <w:rPr>
          <w:rFonts w:ascii="Garamond" w:hAnsi="Garamond"/>
          <w:lang w:val="en-US"/>
        </w:rPr>
      </w:pPr>
      <w:r>
        <w:rPr>
          <w:rFonts w:ascii="Garamond" w:hAnsi="Garamond"/>
          <w:lang w:val="en-US"/>
        </w:rPr>
        <w:lastRenderedPageBreak/>
        <w:t xml:space="preserve">Claims to </w:t>
      </w:r>
      <w:r w:rsidR="006564A7">
        <w:rPr>
          <w:rFonts w:ascii="Garamond" w:hAnsi="Garamond"/>
          <w:lang w:val="en-US"/>
        </w:rPr>
        <w:t>equal</w:t>
      </w:r>
      <w:r w:rsidR="00C65BC6">
        <w:rPr>
          <w:rFonts w:ascii="Garamond" w:hAnsi="Garamond"/>
          <w:lang w:val="en-US"/>
        </w:rPr>
        <w:t xml:space="preserve"> membership are regulated through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9E1026">
        <w:rPr>
          <w:rFonts w:ascii="Garamond" w:hAnsi="Garamond"/>
          <w:lang w:val="en-US"/>
        </w:rPr>
        <w:t>Nevertheless</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884885">
        <w:rPr>
          <w:rFonts w:ascii="Garamond" w:hAnsi="Garamond"/>
          <w:lang w:val="en-US"/>
        </w:rPr>
        <w:t>indicates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884885">
        <w:rPr>
          <w:rFonts w:ascii="Garamond" w:hAnsi="Garamond"/>
          <w:lang w:val="en-US"/>
        </w:rPr>
        <w:instrText xml:space="preserve"> ADDIN ZOTERO_ITEM CSL_CITATION {"citationID":"A5MZCHDY","properties":{"formattedCitation":"(Miller-Idriss 2006; Reijerse et al. 2013)","plainCitation":"(Miller-Idriss 2006; Reijerse et al. 2013)","noteIndex":0},"citationItems":[{"id":449,"uris":["http://zotero.org/users/1000541/items/5W8K3P4P"],"itemData":{"id":449,"type":"article-journal","abstract":"Most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884885">
        <w:rPr>
          <w:rFonts w:ascii="Cambria Math" w:hAnsi="Cambria Math" w:cs="Cambria Math"/>
          <w:lang w:val="en-US"/>
        </w:rPr>
        <w:instrText>‐</w:instrText>
      </w:r>
      <w:r w:rsidR="00884885">
        <w:rPr>
          <w:rFonts w:ascii="Garamond" w:hAnsi="Garamond"/>
          <w:lang w:val="en-US"/>
        </w:rPr>
        <w:instrText>Civic Dichotomy: Cultural Citizenship as a New Way of Excluding Immigrants","title-short":"Beyond the Ethnic</w:instrText>
      </w:r>
      <w:r w:rsidR="00884885">
        <w:rPr>
          <w:rFonts w:ascii="Cambria Math" w:hAnsi="Cambria Math" w:cs="Cambria Math"/>
          <w:lang w:val="en-US"/>
        </w:rPr>
        <w:instrText>‐</w:instrText>
      </w:r>
      <w:r w:rsidR="00884885">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schema":"https://github.com/citation-style-language/schema/raw/master/csl-citation.json"} </w:instrText>
      </w:r>
      <w:r w:rsidR="00884885">
        <w:rPr>
          <w:rFonts w:ascii="Garamond" w:hAnsi="Garamond"/>
          <w:lang w:val="en-US"/>
        </w:rPr>
        <w:fldChar w:fldCharType="separate"/>
      </w:r>
      <w:r w:rsidR="00884885">
        <w:rPr>
          <w:rFonts w:ascii="Garamond" w:hAnsi="Garamond"/>
          <w:noProof/>
          <w:lang w:val="en-US"/>
        </w:rPr>
        <w:t>(Miller-Idriss 2006; Reijerse et al. 2013)</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influenced by </w:t>
      </w:r>
      <w:r w:rsidR="009E1026">
        <w:rPr>
          <w:rFonts w:ascii="Garamond" w:hAnsi="Garamond"/>
          <w:lang w:val="en-US"/>
        </w:rPr>
        <w:t xml:space="preserve">citizenship law </w:t>
      </w:r>
      <w:r w:rsidR="00540F9A">
        <w:rPr>
          <w:rFonts w:ascii="Garamond" w:hAnsi="Garamond"/>
          <w:lang w:val="en-US"/>
        </w:rPr>
        <w:t xml:space="preserve">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economic</w:t>
      </w:r>
      <w:r w:rsidR="00D73652">
        <w:rPr>
          <w:rFonts w:ascii="Garamond" w:hAnsi="Garamond"/>
          <w:lang w:val="en-US"/>
        </w:rPr>
        <w:t xml:space="preserve"> deservingness</w:t>
      </w:r>
      <w:r w:rsidR="009E1026">
        <w:rPr>
          <w:rFonts w:ascii="Garamond" w:hAnsi="Garamond"/>
          <w:lang w:val="en-US"/>
        </w:rPr>
        <w:t xml:space="preserve">. This article aims to enhance our understanding of this relational process of recognition </w:t>
      </w:r>
      <w:r w:rsidR="009E1026">
        <w:rPr>
          <w:rFonts w:ascii="Garamond" w:hAnsi="Garamond"/>
          <w:lang w:val="en-US"/>
        </w:rPr>
        <w:fldChar w:fldCharType="begin"/>
      </w:r>
      <w:r w:rsidR="009E1026">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9E1026">
        <w:rPr>
          <w:rFonts w:ascii="Garamond" w:hAnsi="Garamond"/>
          <w:lang w:val="en-US"/>
        </w:rPr>
        <w:fldChar w:fldCharType="separate"/>
      </w:r>
      <w:r w:rsidR="009E1026">
        <w:rPr>
          <w:rFonts w:ascii="Garamond" w:hAnsi="Garamond"/>
          <w:noProof/>
          <w:lang w:val="en-US"/>
        </w:rPr>
        <w:t>(Bloemraad 2018)</w:t>
      </w:r>
      <w:r w:rsidR="009E1026">
        <w:rPr>
          <w:rFonts w:ascii="Garamond" w:hAnsi="Garamond"/>
          <w:lang w:val="en-US"/>
        </w:rPr>
        <w:fldChar w:fldCharType="end"/>
      </w:r>
      <w:r w:rsidR="009E1026">
        <w:rPr>
          <w:rFonts w:ascii="Garamond" w:hAnsi="Garamond"/>
          <w:lang w:val="en-US"/>
        </w:rPr>
        <w:t>, including both the definition of membership criteria and the evaluation of whether a specific applicant satisfies these conditions</w:t>
      </w:r>
      <w:r w:rsidR="00D73652">
        <w:rPr>
          <w:rFonts w:ascii="Garamond" w:hAnsi="Garamond"/>
          <w:lang w:val="en-US"/>
        </w:rPr>
        <w:t>.</w:t>
      </w:r>
      <w:r w:rsidR="009E1026">
        <w:rPr>
          <w:rFonts w:ascii="Garamond" w:hAnsi="Garamond"/>
          <w:lang w:val="en-US"/>
        </w:rPr>
        <w:t xml:space="preserve">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r w:rsidR="008870D4">
        <w:rPr>
          <w:rFonts w:ascii="Garamond" w:hAnsi="Garamond"/>
          <w:lang w:val="en-US"/>
        </w:rPr>
        <w:t xml:space="preserve">This approach enables me to examine the shared understanding of citizenship criteria and subgroup heterogeneity. </w:t>
      </w:r>
    </w:p>
    <w:p w14:paraId="68BE27E9" w14:textId="2F8769BE" w:rsidR="008870D4" w:rsidRDefault="0023588D" w:rsidP="001358AF">
      <w:pPr>
        <w:spacing w:after="200" w:line="360" w:lineRule="auto"/>
        <w:jc w:val="both"/>
        <w:rPr>
          <w:rFonts w:ascii="Garamond" w:hAnsi="Garamond"/>
          <w:lang w:val="en-US"/>
        </w:rPr>
      </w:pPr>
      <w:r>
        <w:rPr>
          <w:rFonts w:ascii="Garamond" w:hAnsi="Garamond"/>
          <w:lang w:val="en-US"/>
        </w:rPr>
        <w:t>Following this introduction</w:t>
      </w:r>
      <w:r w:rsidR="008870D4">
        <w:rPr>
          <w:rFonts w:ascii="Garamond" w:hAnsi="Garamond"/>
          <w:lang w:val="en-US"/>
        </w:rPr>
        <w:t xml:space="preserve">, I will first </w:t>
      </w:r>
      <w:r>
        <w:rPr>
          <w:rFonts w:ascii="Garamond" w:hAnsi="Garamond"/>
          <w:lang w:val="en-US"/>
        </w:rPr>
        <w:t>present</w:t>
      </w:r>
      <w:r w:rsidR="008870D4">
        <w:rPr>
          <w:rFonts w:ascii="Garamond" w:hAnsi="Garamond"/>
          <w:lang w:val="en-US"/>
        </w:rPr>
        <w:t xml:space="preserve"> the current state of Germany’s citizenship law and the proposed reform, </w:t>
      </w:r>
      <w:r>
        <w:rPr>
          <w:rFonts w:ascii="Garamond" w:hAnsi="Garamond"/>
          <w:lang w:val="en-US"/>
        </w:rPr>
        <w:t>providing</w:t>
      </w:r>
      <w:r w:rsidR="008870D4">
        <w:rPr>
          <w:rFonts w:ascii="Garamond" w:hAnsi="Garamond"/>
          <w:lang w:val="en-US"/>
        </w:rPr>
        <w:t xml:space="preserve"> the background for the study. </w:t>
      </w:r>
      <w:r>
        <w:rPr>
          <w:rFonts w:ascii="Garamond" w:hAnsi="Garamond"/>
          <w:lang w:val="en-US"/>
        </w:rPr>
        <w:t xml:space="preserve">Subsequently, </w:t>
      </w:r>
      <w:r w:rsidR="008870D4">
        <w:rPr>
          <w:rFonts w:ascii="Garamond" w:hAnsi="Garamond"/>
          <w:lang w:val="en-US"/>
        </w:rPr>
        <w:t xml:space="preserve">I delve into existing findings </w:t>
      </w:r>
      <w:r>
        <w:rPr>
          <w:rFonts w:ascii="Garamond" w:hAnsi="Garamond"/>
          <w:lang w:val="en-US"/>
        </w:rPr>
        <w:t>on public attitudes toward naturalization requirements and applicants</w:t>
      </w:r>
      <w:r w:rsidR="00351214">
        <w:rPr>
          <w:rFonts w:ascii="Garamond" w:hAnsi="Garamond"/>
          <w:lang w:val="en-US"/>
        </w:rPr>
        <w:t>, drawing</w:t>
      </w:r>
      <w:r>
        <w:rPr>
          <w:rFonts w:ascii="Garamond" w:hAnsi="Garamond"/>
          <w:lang w:val="en-US"/>
        </w:rPr>
        <w:t xml:space="preserve"> on the German General Social Survey (ALLBUS)</w:t>
      </w:r>
      <w:r w:rsidR="00351214">
        <w:rPr>
          <w:rFonts w:ascii="Garamond" w:hAnsi="Garamond"/>
          <w:lang w:val="en-US"/>
        </w:rPr>
        <w:t>. This dataset allows me to</w:t>
      </w:r>
      <w:r>
        <w:rPr>
          <w:rFonts w:ascii="Garamond" w:hAnsi="Garamond"/>
          <w:lang w:val="en-US"/>
        </w:rPr>
        <w:t xml:space="preserve"> document the shifting landscape of attitudes toward naturalization in Germany between 1996 and 2016. </w:t>
      </w:r>
      <w:r w:rsidR="00351214">
        <w:rPr>
          <w:rFonts w:ascii="Garamond" w:hAnsi="Garamond"/>
          <w:lang w:val="en-US"/>
        </w:rPr>
        <w:t>In conjunction with existing studies</w:t>
      </w:r>
      <w:r>
        <w:rPr>
          <w:rFonts w:ascii="Garamond" w:hAnsi="Garamond"/>
          <w:lang w:val="en-US"/>
        </w:rPr>
        <w:t xml:space="preserve">, this </w:t>
      </w:r>
      <w:r w:rsidR="00351214">
        <w:rPr>
          <w:rFonts w:ascii="Garamond" w:hAnsi="Garamond"/>
          <w:lang w:val="en-US"/>
        </w:rPr>
        <w:t xml:space="preserve">forms the basis for </w:t>
      </w:r>
      <w:r>
        <w:rPr>
          <w:rFonts w:ascii="Garamond" w:hAnsi="Garamond"/>
          <w:lang w:val="en-US"/>
        </w:rPr>
        <w:t>formulat</w:t>
      </w:r>
      <w:r w:rsidR="00351214">
        <w:rPr>
          <w:rFonts w:ascii="Garamond" w:hAnsi="Garamond"/>
          <w:lang w:val="en-US"/>
        </w:rPr>
        <w:t>ing</w:t>
      </w:r>
      <w:r>
        <w:rPr>
          <w:rFonts w:ascii="Garamond" w:hAnsi="Garamond"/>
          <w:lang w:val="en-US"/>
        </w:rPr>
        <w:t xml:space="preserve"> hypotheses on public attitudes toward naturalization applicants. I </w:t>
      </w:r>
      <w:r w:rsidR="00351214">
        <w:rPr>
          <w:rFonts w:ascii="Garamond" w:hAnsi="Garamond"/>
          <w:lang w:val="en-US"/>
        </w:rPr>
        <w:t xml:space="preserve">then proceed to </w:t>
      </w:r>
      <w:r>
        <w:rPr>
          <w:rFonts w:ascii="Garamond" w:hAnsi="Garamond"/>
          <w:lang w:val="en-US"/>
        </w:rPr>
        <w:t>present my data and methods</w:t>
      </w:r>
      <w:r w:rsidR="00351214">
        <w:rPr>
          <w:rFonts w:ascii="Garamond" w:hAnsi="Garamond"/>
          <w:lang w:val="en-US"/>
        </w:rPr>
        <w:t xml:space="preserve"> before introducing my main findings</w:t>
      </w:r>
      <w:r>
        <w:rPr>
          <w:rFonts w:ascii="Garamond" w:hAnsi="Garamond"/>
          <w:lang w:val="en-US"/>
        </w:rPr>
        <w:t xml:space="preserve">. Finally, I assess the robustness of my findings and discuss their implications.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p>
    <w:p w14:paraId="19BDF6A2" w14:textId="41C439A8"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2"/>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A57375">
        <w:rPr>
          <w:rFonts w:ascii="Garamond" w:hAnsi="Garamond"/>
          <w:lang w:val="en-US"/>
        </w:rPr>
        <w:t xml:space="preserve">. This act simplified naturalization procedures for young immigrants and older immigrants who had resided in Germany for at least fifteen years </w:t>
      </w:r>
      <w:r w:rsidR="00A57375">
        <w:rPr>
          <w:rFonts w:ascii="Garamond" w:hAnsi="Garamond"/>
          <w:lang w:val="en-US"/>
        </w:rPr>
        <w:fldChar w:fldCharType="begin"/>
      </w:r>
      <w:r w:rsidR="00A57375">
        <w:rPr>
          <w:rFonts w:ascii="Garamond" w:hAnsi="Garamond"/>
          <w:lang w:val="en-US"/>
        </w:rPr>
        <w:instrText xml:space="preserve"> ADDIN ZOTERO_ITEM CSL_CITATION {"citationID":"wfkiOdnX","properties":{"formattedCitation":"(Green 2000: 110-111)","plainCitation":"(Green 2000: 110-111)","noteIndex":0},"citationItems":[{"id":1643,"uris":["http://zotero.org/users/1000541/items/SNNVT7BD"],"itemData":{"id":1643,"type":"article-journal","container-title":"German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110-111"}],"schema":"https://github.com/citation-style-language/schema/raw/master/csl-citation.json"}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(Green 2000: 110-111)</w:t>
      </w:r>
      <w:r w:rsidR="00A57375">
        <w:rPr>
          <w:rFonts w:ascii="Garamond" w:hAnsi="Garamond"/>
          <w:lang w:val="en-US"/>
        </w:rPr>
        <w:fldChar w:fldCharType="end"/>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w:t>
      </w:r>
      <w:r w:rsidR="000F672F">
        <w:rPr>
          <w:rFonts w:ascii="Garamond" w:hAnsi="Garamond"/>
          <w:lang w:val="en-US"/>
        </w:rPr>
        <w:lastRenderedPageBreak/>
        <w:t xml:space="preserve">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176B85A7" w:rsidR="006A3B09" w:rsidRPr="00A57375"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w:t>
      </w:r>
      <w:r w:rsidR="00A57375">
        <w:rPr>
          <w:rFonts w:ascii="Garamond" w:hAnsi="Garamond"/>
          <w:lang w:val="en-US"/>
        </w:rPr>
        <w:t>despite these progressive steps, the intended acceptance of</w:t>
      </w:r>
      <w:r w:rsidR="006A3B09">
        <w:rPr>
          <w:rFonts w:ascii="Garamond" w:hAnsi="Garamond"/>
          <w:lang w:val="en-US"/>
        </w:rPr>
        <w:t xml:space="preserve"> dual </w:t>
      </w:r>
      <w:r w:rsidR="00A57375">
        <w:rPr>
          <w:rFonts w:ascii="Garamond" w:hAnsi="Garamond"/>
          <w:lang w:val="en-US"/>
        </w:rPr>
        <w:t>faced obstacles</w:t>
      </w:r>
      <w:r w:rsidR="006A3B09">
        <w:rPr>
          <w:rFonts w:ascii="Garamond" w:hAnsi="Garamond"/>
          <w:lang w:val="en-US"/>
        </w:rPr>
        <w:t xml:space="preserve"> due to </w:t>
      </w:r>
      <w:r w:rsidR="00A57375">
        <w:rPr>
          <w:rFonts w:ascii="Garamond" w:hAnsi="Garamond"/>
          <w:lang w:val="en-US"/>
        </w:rPr>
        <w:t>necessity for a</w:t>
      </w:r>
      <w:r w:rsidR="006A3B09">
        <w:rPr>
          <w:rFonts w:ascii="Garamond" w:hAnsi="Garamond"/>
          <w:lang w:val="en-US"/>
        </w:rPr>
        <w:t xml:space="preserve"> political compromise</w:t>
      </w:r>
      <w:r w:rsidR="00C84BB5">
        <w:rPr>
          <w:rFonts w:ascii="Garamond" w:hAnsi="Garamond"/>
          <w:lang w:val="en-US"/>
        </w:rPr>
        <w:t xml:space="preserve"> </w:t>
      </w:r>
      <w:r w:rsidR="00C84BB5">
        <w:rPr>
          <w:rFonts w:ascii="Garamond" w:hAnsi="Garamond"/>
          <w:lang w:val="en-US"/>
        </w:rPr>
        <w:fldChar w:fldCharType="begin"/>
      </w:r>
      <w:r w:rsidR="00C84BB5">
        <w:rPr>
          <w:rFonts w:ascii="Garamond" w:hAnsi="Garamond"/>
          <w:lang w:val="en-US"/>
        </w:rPr>
        <w:instrText xml:space="preserve"> ADDIN ZOTERO_ITEM CSL_CITATION {"citationID":"vsbk5gWN","properties":{"formattedCitation":"(Green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6A3B09">
        <w:rPr>
          <w:rFonts w:ascii="Garamond" w:hAnsi="Garamond"/>
          <w:lang w:val="en-US"/>
        </w:rPr>
        <w:t xml:space="preserve">. </w:t>
      </w:r>
      <w:r w:rsidR="00A57375">
        <w:rPr>
          <w:rFonts w:ascii="Garamond" w:hAnsi="Garamond"/>
          <w:lang w:val="en-US"/>
        </w:rPr>
        <w:t>In particular, the opposition party, the Christian Democrats (</w:t>
      </w:r>
      <w:r w:rsidR="00A57375" w:rsidRPr="00A57375">
        <w:rPr>
          <w:rFonts w:ascii="Garamond" w:hAnsi="Garamond"/>
          <w:i/>
          <w:iCs/>
          <w:lang w:val="en-US"/>
        </w:rPr>
        <w:t>CDU/CSU</w:t>
      </w:r>
      <w:r w:rsidR="00A57375">
        <w:rPr>
          <w:rFonts w:ascii="Garamond" w:hAnsi="Garamond"/>
          <w:lang w:val="en-US"/>
        </w:rPr>
        <w:t>), politicized the proposal to accept dual citizenship by orchestrating a petition campaign.</w:t>
      </w:r>
      <w:r w:rsidR="00D2061F">
        <w:rPr>
          <w:rStyle w:val="Funotenzeichen"/>
          <w:rFonts w:ascii="Garamond" w:hAnsi="Garamond"/>
          <w:lang w:val="en-US"/>
        </w:rPr>
        <w:footnoteReference w:id="3"/>
      </w:r>
      <w:r w:rsidR="00A57375">
        <w:rPr>
          <w:rFonts w:ascii="Garamond" w:hAnsi="Garamond"/>
          <w:lang w:val="en-US"/>
        </w:rPr>
        <w:t xml:space="preserve"> This campaign played a role in their victory in the federal election in Hesse. The success of the Christian Democrats meant that the governing coalition of Social Democrats (</w:t>
      </w:r>
      <w:r w:rsidR="00A57375" w:rsidRPr="00A57375">
        <w:rPr>
          <w:rFonts w:ascii="Garamond" w:hAnsi="Garamond"/>
          <w:i/>
          <w:iCs/>
          <w:lang w:val="en-US"/>
        </w:rPr>
        <w:t>SPD</w:t>
      </w:r>
      <w:r w:rsidR="00A57375">
        <w:rPr>
          <w:rFonts w:ascii="Garamond" w:hAnsi="Garamond"/>
          <w:lang w:val="en-US"/>
        </w:rPr>
        <w:t>) and Greens (</w:t>
      </w:r>
      <w:proofErr w:type="spellStart"/>
      <w:r w:rsidR="00A57375" w:rsidRPr="00A57375">
        <w:rPr>
          <w:rFonts w:ascii="Garamond" w:hAnsi="Garamond"/>
          <w:i/>
          <w:iCs/>
          <w:lang w:val="en-US"/>
        </w:rPr>
        <w:t>Bündnis</w:t>
      </w:r>
      <w:proofErr w:type="spellEnd"/>
      <w:r w:rsidR="00A57375" w:rsidRPr="00A57375">
        <w:rPr>
          <w:rFonts w:ascii="Garamond" w:hAnsi="Garamond"/>
          <w:i/>
          <w:iCs/>
          <w:lang w:val="en-US"/>
        </w:rPr>
        <w:t xml:space="preserve"> 90/Die </w:t>
      </w:r>
      <w:proofErr w:type="spellStart"/>
      <w:r w:rsidR="00A57375" w:rsidRPr="00A57375">
        <w:rPr>
          <w:rFonts w:ascii="Garamond" w:hAnsi="Garamond"/>
          <w:i/>
          <w:iCs/>
          <w:lang w:val="en-US"/>
        </w:rPr>
        <w:t>Grünen</w:t>
      </w:r>
      <w:proofErr w:type="spellEnd"/>
      <w:r w:rsidR="00A57375">
        <w:rPr>
          <w:rFonts w:ascii="Garamond" w:hAnsi="Garamond"/>
          <w:lang w:val="en-US"/>
        </w:rPr>
        <w:t xml:space="preserve">) lost its majority in </w:t>
      </w:r>
      <w:r w:rsidR="00A57375" w:rsidRPr="00A57375">
        <w:rPr>
          <w:rFonts w:ascii="Garamond" w:hAnsi="Garamond"/>
          <w:lang w:val="en-US"/>
        </w:rPr>
        <w:t xml:space="preserve">the </w:t>
      </w:r>
      <w:r w:rsidR="00A57375" w:rsidRPr="00A57375">
        <w:rPr>
          <w:rFonts w:ascii="Garamond" w:hAnsi="Garamond"/>
          <w:i/>
          <w:iCs/>
          <w:lang w:val="en-US"/>
        </w:rPr>
        <w:t>Bundesrat</w:t>
      </w:r>
      <w:r w:rsidR="00A57375" w:rsidRPr="00A57375">
        <w:rPr>
          <w:rFonts w:ascii="Garamond" w:hAnsi="Garamond"/>
          <w:lang w:val="en-US"/>
        </w:rPr>
        <w:t>, curtailing</w:t>
      </w:r>
      <w:r w:rsidR="00A57375">
        <w:rPr>
          <w:rFonts w:ascii="Garamond" w:hAnsi="Garamond"/>
          <w:lang w:val="en-US"/>
        </w:rPr>
        <w:t xml:space="preserve"> their legislative power </w:t>
      </w:r>
      <w:r w:rsidR="00A57375">
        <w:rPr>
          <w:rFonts w:ascii="Garamond" w:hAnsi="Garamond"/>
          <w:lang w:val="en-US"/>
        </w:rPr>
        <w:fldChar w:fldCharType="begin"/>
      </w:r>
      <w:r w:rsidR="00A57375">
        <w:rPr>
          <w:rFonts w:ascii="Garamond" w:hAnsi="Garamond"/>
          <w:lang w:val="en-US"/>
        </w:rPr>
        <w:instrText xml:space="preserve"> ADDIN ZOTERO_ITEM CSL_CITATION {"citationID":"IJ9lvAzR","properties":{"formattedCitation":"(Gerdes, Faist, and Rieple 2007: 52)","plainCitation":"(Gerdes, Faist, and Rieple 2007: 52)","noteIndex":0},"citationItems":[{"id":1751,"uris":["http://zotero.org/users/1000541/items/MB3LXLKQ"],"itemData":{"id":1751,"type":"chapter","container-title":"Dual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52"}],"schema":"https://github.com/citation-style-language/schema/raw/master/csl-citation.json"}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(Gerdes, Faist, and Rieple 2007: 52)</w:t>
      </w:r>
      <w:r w:rsidR="00A57375">
        <w:rPr>
          <w:rFonts w:ascii="Garamond" w:hAnsi="Garamond"/>
          <w:lang w:val="en-US"/>
        </w:rPr>
        <w:fldChar w:fldCharType="end"/>
      </w:r>
      <w:r w:rsidR="00A57375">
        <w:rPr>
          <w:rFonts w:ascii="Garamond" w:hAnsi="Garamond"/>
          <w:lang w:val="en-US"/>
        </w:rPr>
        <w:t xml:space="preserve">. </w:t>
      </w:r>
    </w:p>
    <w:p w14:paraId="474688B5" w14:textId="7E9C4A7F"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4"/>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C95EA9">
        <w:rPr>
          <w:rFonts w:ascii="Garamond" w:hAnsi="Garamond"/>
          <w:lang w:val="en-US"/>
        </w:rPr>
        <w:instrText xml:space="preserve"> ADDIN ZOTERO_ITEM CSL_CITATION {"citationID":"kasJlsjC","properties":{"formattedCitation":"(Green 2012; Weinmann 2022)","plainCitation":"(Green 2012; Weinmann 2022)","noteIndex":0},"citationItems":[{"id":452,"uris":["http://zotero.org/users/1000541/items/45LSHHCE"],"itemData":{"id":452,"type":"article-journal","container-title":"Citizenship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naturalization","volume":"60","author":[{"family":"Weinmann","given":"Martin"}],"issued":{"date-parts":[["2022",10]]},"citation-key":"weinmann2022im"}}],"schema":"https://github.com/citation-style-language/schema/raw/master/csl-citation.json"} </w:instrText>
      </w:r>
      <w:r w:rsidR="00C95EA9">
        <w:rPr>
          <w:rFonts w:ascii="Garamond" w:hAnsi="Garamond"/>
          <w:lang w:val="en-US"/>
        </w:rPr>
        <w:fldChar w:fldCharType="separate"/>
      </w:r>
      <w:r w:rsidR="00C95EA9">
        <w:rPr>
          <w:rFonts w:ascii="Garamond" w:hAnsi="Garamond"/>
          <w:noProof/>
          <w:lang w:val="en-US"/>
        </w:rPr>
        <w:t>(Green 2012; Weinmann 2022)</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5"/>
      </w:r>
      <w:r w:rsidR="00C95EA9">
        <w:rPr>
          <w:rFonts w:ascii="Garamond" w:hAnsi="Garamond"/>
          <w:lang w:val="en-US"/>
        </w:rPr>
        <w:t xml:space="preserve"> </w:t>
      </w:r>
    </w:p>
    <w:p w14:paraId="600DC521" w14:textId="619252A7" w:rsidR="006D6A6E" w:rsidRDefault="00D2061F" w:rsidP="002F1D18">
      <w:pPr>
        <w:spacing w:after="200" w:line="360" w:lineRule="auto"/>
        <w:jc w:val="both"/>
        <w:rPr>
          <w:rFonts w:ascii="Garamond" w:hAnsi="Garamond"/>
          <w:lang w:val="en-US"/>
        </w:rPr>
      </w:pPr>
      <w:r>
        <w:rPr>
          <w:rFonts w:ascii="Garamond" w:hAnsi="Garamond"/>
          <w:noProof/>
          <w:lang w:val="en-US"/>
        </w:rPr>
        <w:lastRenderedPageBreak/>
        <w:drawing>
          <wp:inline distT="0" distB="0" distL="0" distR="0" wp14:anchorId="2AF04AEF" wp14:editId="4579AF14">
            <wp:extent cx="5760720" cy="3456305"/>
            <wp:effectExtent l="0" t="0" r="5080" b="0"/>
            <wp:docPr id="65714313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313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r w:rsidR="006D6A6E" w:rsidRPr="006D6A6E">
        <w:rPr>
          <w:rFonts w:ascii="Garamond" w:hAnsi="Garamond"/>
          <w:b/>
          <w:bCs/>
          <w:lang w:val="en-US"/>
        </w:rPr>
        <w:t>Figure 1</w:t>
      </w:r>
      <w:r w:rsidR="006D6A6E">
        <w:rPr>
          <w:rFonts w:ascii="Garamond" w:hAnsi="Garamond"/>
          <w:lang w:val="en-US"/>
        </w:rPr>
        <w:t>. Naturalizations and major policy reforms 1995–2022</w:t>
      </w:r>
    </w:p>
    <w:p w14:paraId="7AD60814" w14:textId="74E3AAC7"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C84BB5">
        <w:rPr>
          <w:rFonts w:ascii="Garamond" w:hAnsi="Garamond"/>
          <w:lang w:val="en-US"/>
        </w:rPr>
        <w:t xml:space="preserve">Moreover, German language proficiency requirements for naturalization were delineated </w:t>
      </w:r>
      <w:r w:rsidR="00C84BB5">
        <w:rPr>
          <w:rFonts w:ascii="Garamond" w:hAnsi="Garamond"/>
          <w:lang w:val="en-US"/>
        </w:rPr>
        <w:fldChar w:fldCharType="begin"/>
      </w:r>
      <w:r w:rsidR="00C84BB5">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C84BB5">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5BBC71FB" w14:textId="740032D2"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based on individual circumstances, and applicant may be required to renounce their previous citizenship. </w:t>
      </w:r>
    </w:p>
    <w:p w14:paraId="64EE2079" w14:textId="6ED521C4"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w:t>
      </w:r>
      <w:r w:rsidR="00E532F3">
        <w:rPr>
          <w:rFonts w:ascii="Garamond" w:hAnsi="Garamond"/>
          <w:lang w:val="en-US"/>
        </w:rPr>
        <w:lastRenderedPageBreak/>
        <w:t xml:space="preserve">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w:t>
      </w:r>
      <w:r w:rsidR="003D7992">
        <w:rPr>
          <w:rFonts w:ascii="Garamond" w:hAnsi="Garamond"/>
          <w:lang w:val="en-US"/>
        </w:rPr>
        <w:t>Christian Democrats</w:t>
      </w:r>
      <w:r w:rsidR="00B95E1B">
        <w:rPr>
          <w:rFonts w:ascii="Garamond" w:hAnsi="Garamond"/>
          <w:lang w:val="en-US"/>
        </w:rPr>
        <w:t xml:space="preserve">, </w:t>
      </w:r>
      <w:r w:rsidR="00A41444">
        <w:rPr>
          <w:rFonts w:ascii="Garamond" w:hAnsi="Garamond"/>
          <w:lang w:val="en-US"/>
        </w:rPr>
        <w:t xml:space="preserve">underlines that a reduction of the required residence period may hamper immigrants’ integration efforts, the governing coalition </w:t>
      </w:r>
      <w:r w:rsidR="003D7992">
        <w:rPr>
          <w:rFonts w:ascii="Garamond" w:hAnsi="Garamond"/>
          <w:lang w:val="en-US"/>
        </w:rPr>
        <w:t xml:space="preserve">of Social Democrats, Greens, and Liberals </w:t>
      </w:r>
      <w:r w:rsidR="00A41444">
        <w:rPr>
          <w:rFonts w:ascii="Garamond" w:hAnsi="Garamond"/>
          <w:lang w:val="en-US"/>
        </w:rPr>
        <w:t xml:space="preserve">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41D3E4BB"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4A36A1CA" w14:textId="0287AA56" w:rsidR="003271E2" w:rsidRDefault="00AB62A7" w:rsidP="002F1D18">
      <w:pPr>
        <w:spacing w:after="200" w:line="360" w:lineRule="auto"/>
        <w:jc w:val="both"/>
        <w:rPr>
          <w:rFonts w:ascii="Garamond" w:hAnsi="Garamond"/>
          <w:lang w:val="en-US"/>
        </w:rPr>
      </w:pPr>
      <w:r>
        <w:rPr>
          <w:rFonts w:ascii="Garamond" w:hAnsi="Garamond"/>
          <w:lang w:val="en-US"/>
        </w:rPr>
        <w:t xml:space="preserve">To build on these insights, </w:t>
      </w:r>
      <w:r w:rsidR="003271E2">
        <w:rPr>
          <w:rFonts w:ascii="Garamond" w:hAnsi="Garamond"/>
          <w:lang w:val="en-US"/>
        </w:rPr>
        <w:t xml:space="preserve">Figure </w:t>
      </w:r>
      <w:r w:rsidR="003D7992">
        <w:rPr>
          <w:rFonts w:ascii="Garamond" w:hAnsi="Garamond"/>
          <w:lang w:val="en-US"/>
        </w:rPr>
        <w:t>2</w:t>
      </w:r>
      <w:r w:rsidR="003271E2">
        <w:rPr>
          <w:rFonts w:ascii="Garamond" w:hAnsi="Garamond"/>
          <w:lang w:val="en-US"/>
        </w:rPr>
        <w:t xml:space="preserve"> ex</w:t>
      </w:r>
      <w:r>
        <w:rPr>
          <w:rFonts w:ascii="Garamond" w:hAnsi="Garamond"/>
          <w:lang w:val="en-US"/>
        </w:rPr>
        <w:t>tends</w:t>
      </w:r>
      <w:r w:rsidR="003271E2">
        <w:rPr>
          <w:rFonts w:ascii="Garamond" w:hAnsi="Garamond"/>
          <w:lang w:val="en-US"/>
        </w:rPr>
        <w:t xml:space="preserve"> the </w:t>
      </w:r>
      <w:r>
        <w:rPr>
          <w:rFonts w:ascii="Garamond" w:hAnsi="Garamond"/>
          <w:lang w:val="en-US"/>
        </w:rPr>
        <w:t>analysis by incorporating</w:t>
      </w:r>
      <w:r w:rsidR="003271E2">
        <w:rPr>
          <w:rFonts w:ascii="Garamond" w:hAnsi="Garamond"/>
          <w:lang w:val="en-US"/>
        </w:rPr>
        <w:t xml:space="preserve"> </w:t>
      </w:r>
      <w:r>
        <w:rPr>
          <w:rFonts w:ascii="Garamond" w:hAnsi="Garamond"/>
          <w:lang w:val="en-US"/>
        </w:rPr>
        <w:t>the most recent wave of the</w:t>
      </w:r>
      <w:r w:rsidR="003271E2">
        <w:rPr>
          <w:rFonts w:ascii="Garamond" w:hAnsi="Garamond"/>
          <w:lang w:val="en-US"/>
        </w:rPr>
        <w:t xml:space="preserve"> ALLBUS</w:t>
      </w:r>
      <w:r>
        <w:rPr>
          <w:rFonts w:ascii="Garamond" w:hAnsi="Garamond"/>
          <w:lang w:val="en-US"/>
        </w:rPr>
        <w:t xml:space="preserve">. In addition, </w:t>
      </w:r>
      <w:r w:rsidR="003271E2">
        <w:rPr>
          <w:rFonts w:ascii="Garamond" w:hAnsi="Garamond"/>
          <w:lang w:val="en-US"/>
        </w:rPr>
        <w:t>attitudes toward dual citizenship</w:t>
      </w:r>
      <w:r>
        <w:rPr>
          <w:rFonts w:ascii="Garamond" w:hAnsi="Garamond"/>
          <w:lang w:val="en-US"/>
        </w:rPr>
        <w:t xml:space="preserve"> are also examined</w:t>
      </w:r>
      <w:r w:rsidR="003271E2">
        <w:rPr>
          <w:rFonts w:ascii="Garamond" w:hAnsi="Garamond"/>
          <w:lang w:val="en-US"/>
        </w:rPr>
        <w:t xml:space="preserve">. The figure </w:t>
      </w:r>
      <w:r w:rsidR="00B57493">
        <w:rPr>
          <w:rFonts w:ascii="Garamond" w:hAnsi="Garamond"/>
          <w:lang w:val="en-US"/>
        </w:rPr>
        <w:t>confirms</w:t>
      </w:r>
      <w:r w:rsidR="003271E2">
        <w:rPr>
          <w:rFonts w:ascii="Garamond" w:hAnsi="Garamond"/>
          <w:lang w:val="en-US"/>
        </w:rPr>
        <w:t xml:space="preserve"> the </w:t>
      </w:r>
      <w:r>
        <w:rPr>
          <w:rFonts w:ascii="Garamond" w:hAnsi="Garamond"/>
          <w:lang w:val="en-US"/>
        </w:rPr>
        <w:t>departure from</w:t>
      </w:r>
      <w:r w:rsidR="003271E2">
        <w:rPr>
          <w:rFonts w:ascii="Garamond" w:hAnsi="Garamond"/>
          <w:lang w:val="en-US"/>
        </w:rPr>
        <w:t xml:space="preserve"> ethnic criteria</w:t>
      </w:r>
      <w:r>
        <w:rPr>
          <w:rFonts w:ascii="Garamond" w:hAnsi="Garamond"/>
          <w:lang w:val="en-US"/>
        </w:rPr>
        <w:t>,</w:t>
      </w:r>
      <w:r w:rsidR="003271E2">
        <w:rPr>
          <w:rFonts w:ascii="Garamond" w:hAnsi="Garamond"/>
          <w:lang w:val="en-US"/>
        </w:rPr>
        <w:t xml:space="preserve"> which continuously lost significance </w:t>
      </w:r>
      <w:r w:rsidR="00F51E54">
        <w:rPr>
          <w:rFonts w:ascii="Garamond" w:hAnsi="Garamond"/>
          <w:lang w:val="en-US"/>
        </w:rPr>
        <w:t>over time</w:t>
      </w:r>
      <w:r w:rsidR="003271E2">
        <w:rPr>
          <w:rFonts w:ascii="Garamond" w:hAnsi="Garamond"/>
          <w:lang w:val="en-US"/>
        </w:rPr>
        <w:t xml:space="preserve">. </w:t>
      </w:r>
      <w:r w:rsidR="00B57493">
        <w:rPr>
          <w:rFonts w:ascii="Garamond" w:hAnsi="Garamond"/>
          <w:lang w:val="en-US"/>
        </w:rPr>
        <w:t>Simultaneously, instrumental criteria such as language proficiency and economic independence</w:t>
      </w:r>
      <w:r w:rsidR="00F51E54">
        <w:rPr>
          <w:rFonts w:ascii="Garamond" w:hAnsi="Garamond"/>
          <w:lang w:val="en-US"/>
        </w:rPr>
        <w:t>,</w:t>
      </w:r>
      <w:r w:rsidR="00B57493">
        <w:rPr>
          <w:rFonts w:ascii="Garamond" w:hAnsi="Garamond"/>
          <w:lang w:val="en-US"/>
        </w:rPr>
        <w:t xml:space="preserve"> </w:t>
      </w:r>
      <w:r w:rsidR="00F51E54">
        <w:rPr>
          <w:rFonts w:ascii="Garamond" w:hAnsi="Garamond"/>
          <w:lang w:val="en-US"/>
        </w:rPr>
        <w:t xml:space="preserve">which always were important as membership criteria, </w:t>
      </w:r>
      <w:r>
        <w:rPr>
          <w:rFonts w:ascii="Garamond" w:hAnsi="Garamond"/>
          <w:lang w:val="en-US"/>
        </w:rPr>
        <w:t xml:space="preserve">have </w:t>
      </w:r>
      <w:r w:rsidR="00F51E54">
        <w:rPr>
          <w:rFonts w:ascii="Garamond" w:hAnsi="Garamond"/>
          <w:lang w:val="en-US"/>
        </w:rPr>
        <w:t xml:space="preserve">gained salience. </w:t>
      </w:r>
      <w:r>
        <w:rPr>
          <w:rFonts w:ascii="Garamond" w:hAnsi="Garamond"/>
          <w:lang w:val="en-US"/>
        </w:rPr>
        <w:t>Interestingly</w:t>
      </w:r>
      <w:r w:rsidR="00F51E54">
        <w:rPr>
          <w:rFonts w:ascii="Garamond" w:hAnsi="Garamond"/>
          <w:lang w:val="en-US"/>
        </w:rPr>
        <w:t xml:space="preserve">, respondents </w:t>
      </w:r>
      <w:r>
        <w:rPr>
          <w:rFonts w:ascii="Garamond" w:hAnsi="Garamond"/>
          <w:lang w:val="en-US"/>
        </w:rPr>
        <w:t>now place</w:t>
      </w:r>
      <w:r w:rsidR="00F51E54">
        <w:rPr>
          <w:rFonts w:ascii="Garamond" w:hAnsi="Garamond"/>
          <w:lang w:val="en-US"/>
        </w:rPr>
        <w:t xml:space="preserve"> less emphasis on </w:t>
      </w:r>
      <w:r>
        <w:rPr>
          <w:rFonts w:ascii="Garamond" w:hAnsi="Garamond"/>
          <w:lang w:val="en-US"/>
        </w:rPr>
        <w:t>extended</w:t>
      </w:r>
      <w:r w:rsidR="00F51E54">
        <w:rPr>
          <w:rFonts w:ascii="Garamond" w:hAnsi="Garamond"/>
          <w:lang w:val="en-US"/>
        </w:rPr>
        <w:t xml:space="preserve"> residence periods. </w:t>
      </w:r>
      <w:r>
        <w:rPr>
          <w:rFonts w:ascii="Garamond" w:hAnsi="Garamond"/>
          <w:lang w:val="en-US"/>
        </w:rPr>
        <w:t>Regarding</w:t>
      </w:r>
      <w:r w:rsidR="00F51E54">
        <w:rPr>
          <w:rFonts w:ascii="Garamond" w:hAnsi="Garamond"/>
          <w:lang w:val="en-US"/>
        </w:rPr>
        <w:t xml:space="preserve"> the acceptance of dual citizenship, the population is nearly </w:t>
      </w:r>
      <w:r>
        <w:rPr>
          <w:rFonts w:ascii="Garamond" w:hAnsi="Garamond"/>
          <w:lang w:val="en-US"/>
        </w:rPr>
        <w:t>evenly</w:t>
      </w:r>
      <w:r w:rsidR="00F51E54">
        <w:rPr>
          <w:rFonts w:ascii="Garamond" w:hAnsi="Garamond"/>
          <w:lang w:val="en-US"/>
        </w:rPr>
        <w:t xml:space="preserve"> divided between supporters and opponents of such a policy.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F417AE">
          <w:footerReference w:type="even" r:id="rId8"/>
          <w:footerReference w:type="default" r:id="rId9"/>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66098D1F">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F417AE">
          <w:pgSz w:w="16838" w:h="11906" w:orient="landscape"/>
          <w:pgMar w:top="1417" w:right="1134" w:bottom="1417" w:left="1417" w:header="708" w:footer="708" w:gutter="0"/>
          <w:cols w:space="708"/>
          <w:docGrid w:linePitch="360"/>
        </w:sectPr>
      </w:pP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lastRenderedPageBreak/>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32DAE9B3"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B441AA">
        <w:rPr>
          <w:rFonts w:ascii="Garamond" w:hAnsi="Garamond"/>
          <w:lang w:val="en-US"/>
        </w:rPr>
        <w:instrText xml:space="preserve"> ADDIN ZOTERO_ITEM CSL_CITATION {"citationID":"uS14GwXw","properties":{"formattedCitation":"(e.g., Atzm\\uc0\\u252{}ller and Steiner 2010; Hainmueller, Hangartner, and Yamamoto 2015; Donnaloja 2022; Donnaloja and Vink 2023; Helbling et al. 2023)","plainCitation":"(e.g., Atzmüller and Steiner 2010; Hainmueller, Hangartner, and Yamamoto 2015; Donnaloja 2022; Donnaloja and Vink 2023; Helbling et al. 2023)","noteIndex":0},"citationItems":[{"id":1107,"uris":["http://zotero.org/users/1000541/items/A7DBRRWI"],"itemData":{"id":1107,"type":"article-journal","abstract":"Vignette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id":1865,"uris":["http://zotero.org/users/1000541/items/JAS8RS3K"],"itemData":{"id":1865,"type":"article-journal","abstract":"Across Europe, citizenship is traditionally attributed at birth through descent only. As immigrant populations grow, policymakers have come under pressure to extend citizenship rights to the children of immigrants born in the country. While such inclusive measures often counter political opposition, public attitudes on this question remain remarkably underexplored. In this study, we report on the results of an original choice-based conjoint survey experiment designed to examine which parental attributes aﬀect respondents’ willingness to grant citizenship to newborns. We implement the survey experiment in Italy, where over one million children do not have Italian citizenship, yet reform proposals have so far been unsuccessful. In line with our pre-registered expectations, we ﬁnd that respondents are more likely to support birthright citizenship for children born to parents who are economically, legally and socially integrated in society. These attitudes vary little by political background, education and age-category of respondents. Our ﬁndings suggest that incorporating immigration-related conditionality in birthright citizenship proposals is key to convincing sceptical publics of the legitimacy of such measures.","container-title":"Journal of Ethnic and Migration Studies","DOI":"10.1080/1369183X.2023.2282388","ISSN":"1369-183X, 1469-9451","journalAbbreviation":"Journal of Ethnic and Migration Studies","language":"en","page":"1-18","source":"DOI.org (Crossref)","title":"Like parent, like child: how attitudes towards immigrants spill over to the political inclusion of their children","title-short":"Like parent, like child","author":[{"family":"Donnaloja","given":"Victoria"},{"family":"Vink","given":"Maarten"}],"issued":{"date-parts":[["2023",11,20]]},"citation-key":"donnaloja2023joeams"}},{"id":1826,"uris":["http://zotero.org/users/1000541/items/CB3FGIHF"],"itemData":{"id":1826,"type":"article-journal","abstract":"Immigration policy is often considered one of the most divisive issues in Western Europe and North America. We explore whether that debate has been oversimplified. We start from the position that immigration is a complex issue comprising many specific policy choices. We then investigate whether preferences are consistently open or closed across a range of immigration policy criteria. We analyze an original survey with a nationally representative sample of Germans. Our results suggest that preferences are not consistently open or closed on immigration, integration, and naturalization regulations. Overall, the German public would prefer to be open on some aspects of immigration policy and closed on others. In addition, population subsets who are either “pro-” or “anti-” immigration in general have the same preferences for whether to be open or closed on specific immigration policies. Our findings promote a more detailed approach to studying immigration preferences, which adds nuance to the idea of immigration as a grand societal conflict. In doing so, we highlight how future studies can refine expectations about when policy preferences are more permissive or restrictive.","container-title":"International Migration Review","DOI":"10.1177/01979183231216076","ISSN":"0197-9183, 1747-7379","journalAbbreviation":"International Migration Review","language":"en","page":"01979183231216076","source":"DOI.org (Crossref)","title":"Broad and Detailed Agreement: Public Preferences for German Immigration Policy","title-short":"Broad and Detailed Agreement","author":[{"family":"Helbling","given":"Marc"},{"family":"Jäger","given":"Felix"},{"family":"Maxwell","given":"Rahsaan"},{"family":"Traunmüller","given":"Richard"}],"issued":{"date-parts":[["2023",12,7]]},"citation-key":"helbling2023imr"}}],"schema":"https://github.com/citation-style-language/schema/raw/master/csl-citation.json"} </w:instrText>
      </w:r>
      <w:r>
        <w:rPr>
          <w:rFonts w:ascii="Garamond" w:hAnsi="Garamond"/>
          <w:lang w:val="en-US"/>
        </w:rPr>
        <w:fldChar w:fldCharType="separate"/>
      </w:r>
      <w:r w:rsidR="00B441AA" w:rsidRPr="00656AFF">
        <w:rPr>
          <w:rFonts w:ascii="Garamond" w:hAnsi="Garamond" w:cs="Times New Roman"/>
          <w:kern w:val="0"/>
          <w:lang w:val="en-US"/>
        </w:rPr>
        <w:t xml:space="preserve">(e.g., </w:t>
      </w:r>
      <w:proofErr w:type="spellStart"/>
      <w:r w:rsidR="00B441AA" w:rsidRPr="00656AFF">
        <w:rPr>
          <w:rFonts w:ascii="Garamond" w:hAnsi="Garamond" w:cs="Times New Roman"/>
          <w:kern w:val="0"/>
          <w:lang w:val="en-US"/>
        </w:rPr>
        <w:t>Atzmüller</w:t>
      </w:r>
      <w:proofErr w:type="spellEnd"/>
      <w:r w:rsidR="00B441AA" w:rsidRPr="00656AFF">
        <w:rPr>
          <w:rFonts w:ascii="Garamond" w:hAnsi="Garamond" w:cs="Times New Roman"/>
          <w:kern w:val="0"/>
          <w:lang w:val="en-US"/>
        </w:rPr>
        <w:t xml:space="preserve"> and Steiner 2010; </w:t>
      </w:r>
      <w:proofErr w:type="spellStart"/>
      <w:r w:rsidR="00B441AA" w:rsidRPr="00656AFF">
        <w:rPr>
          <w:rFonts w:ascii="Garamond" w:hAnsi="Garamond" w:cs="Times New Roman"/>
          <w:kern w:val="0"/>
          <w:lang w:val="en-US"/>
        </w:rPr>
        <w:t>Hainmueller</w:t>
      </w:r>
      <w:proofErr w:type="spellEnd"/>
      <w:r w:rsidR="00B441AA" w:rsidRPr="00656AFF">
        <w:rPr>
          <w:rFonts w:ascii="Garamond" w:hAnsi="Garamond" w:cs="Times New Roman"/>
          <w:kern w:val="0"/>
          <w:lang w:val="en-US"/>
        </w:rPr>
        <w:t xml:space="preserve">, </w:t>
      </w:r>
      <w:proofErr w:type="spellStart"/>
      <w:r w:rsidR="00B441AA" w:rsidRPr="00656AFF">
        <w:rPr>
          <w:rFonts w:ascii="Garamond" w:hAnsi="Garamond" w:cs="Times New Roman"/>
          <w:kern w:val="0"/>
          <w:lang w:val="en-US"/>
        </w:rPr>
        <w:t>Hangartner</w:t>
      </w:r>
      <w:proofErr w:type="spellEnd"/>
      <w:r w:rsidR="00B441AA" w:rsidRPr="00656AFF">
        <w:rPr>
          <w:rFonts w:ascii="Garamond" w:hAnsi="Garamond" w:cs="Times New Roman"/>
          <w:kern w:val="0"/>
          <w:lang w:val="en-US"/>
        </w:rPr>
        <w:t xml:space="preserve">, and Yamamoto 2015; </w:t>
      </w:r>
      <w:proofErr w:type="spellStart"/>
      <w:r w:rsidR="00B441AA" w:rsidRPr="00656AFF">
        <w:rPr>
          <w:rFonts w:ascii="Garamond" w:hAnsi="Garamond" w:cs="Times New Roman"/>
          <w:kern w:val="0"/>
          <w:lang w:val="en-US"/>
        </w:rPr>
        <w:t>Donnaloja</w:t>
      </w:r>
      <w:proofErr w:type="spellEnd"/>
      <w:r w:rsidR="00B441AA" w:rsidRPr="00656AFF">
        <w:rPr>
          <w:rFonts w:ascii="Garamond" w:hAnsi="Garamond" w:cs="Times New Roman"/>
          <w:kern w:val="0"/>
          <w:lang w:val="en-US"/>
        </w:rPr>
        <w:t xml:space="preserve"> 2022; </w:t>
      </w:r>
      <w:proofErr w:type="spellStart"/>
      <w:r w:rsidR="00B441AA" w:rsidRPr="00656AFF">
        <w:rPr>
          <w:rFonts w:ascii="Garamond" w:hAnsi="Garamond" w:cs="Times New Roman"/>
          <w:kern w:val="0"/>
          <w:lang w:val="en-US"/>
        </w:rPr>
        <w:t>Donnaloja</w:t>
      </w:r>
      <w:proofErr w:type="spellEnd"/>
      <w:r w:rsidR="00B441AA" w:rsidRPr="00656AFF">
        <w:rPr>
          <w:rFonts w:ascii="Garamond" w:hAnsi="Garamond" w:cs="Times New Roman"/>
          <w:kern w:val="0"/>
          <w:lang w:val="en-US"/>
        </w:rPr>
        <w:t xml:space="preserve"> and </w:t>
      </w:r>
      <w:proofErr w:type="spellStart"/>
      <w:r w:rsidR="00B441AA" w:rsidRPr="00656AFF">
        <w:rPr>
          <w:rFonts w:ascii="Garamond" w:hAnsi="Garamond" w:cs="Times New Roman"/>
          <w:kern w:val="0"/>
          <w:lang w:val="en-US"/>
        </w:rPr>
        <w:t>Vink</w:t>
      </w:r>
      <w:proofErr w:type="spellEnd"/>
      <w:r w:rsidR="00B441AA" w:rsidRPr="00656AFF">
        <w:rPr>
          <w:rFonts w:ascii="Garamond" w:hAnsi="Garamond" w:cs="Times New Roman"/>
          <w:kern w:val="0"/>
          <w:lang w:val="en-US"/>
        </w:rPr>
        <w:t xml:space="preserve"> 2023; </w:t>
      </w:r>
      <w:proofErr w:type="spellStart"/>
      <w:r w:rsidR="00B441AA" w:rsidRPr="00656AFF">
        <w:rPr>
          <w:rFonts w:ascii="Garamond" w:hAnsi="Garamond" w:cs="Times New Roman"/>
          <w:kern w:val="0"/>
          <w:lang w:val="en-US"/>
        </w:rPr>
        <w:t>Helbling</w:t>
      </w:r>
      <w:proofErr w:type="spellEnd"/>
      <w:r w:rsidR="00B441AA" w:rsidRPr="00656AFF">
        <w:rPr>
          <w:rFonts w:ascii="Garamond" w:hAnsi="Garamond" w:cs="Times New Roman"/>
          <w:kern w:val="0"/>
          <w:lang w:val="en-US"/>
        </w:rPr>
        <w:t xml:space="preserve"> et al. 2023)</w:t>
      </w:r>
      <w:r>
        <w:rPr>
          <w:rFonts w:ascii="Garamond" w:hAnsi="Garamond"/>
          <w:lang w:val="en-US"/>
        </w:rPr>
        <w:fldChar w:fldCharType="end"/>
      </w:r>
      <w:r w:rsidRPr="00656AFF">
        <w:rPr>
          <w:rFonts w:ascii="Garamond" w:hAnsi="Garamond"/>
          <w:lang w:val="en-US"/>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12A7B945" w14:textId="77777777" w:rsidR="00B441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w:t>
      </w:r>
    </w:p>
    <w:p w14:paraId="3A1CD375" w14:textId="177B508E" w:rsidR="00F34BAA" w:rsidRDefault="00B441AA" w:rsidP="002F1D18">
      <w:pPr>
        <w:spacing w:after="200" w:line="360" w:lineRule="auto"/>
        <w:jc w:val="both"/>
        <w:rPr>
          <w:rFonts w:ascii="Garamond" w:hAnsi="Garamond"/>
          <w:lang w:val="en-US"/>
        </w:rPr>
      </w:pPr>
      <w:r>
        <w:rPr>
          <w:rFonts w:ascii="Garamond" w:hAnsi="Garamond"/>
          <w:lang w:val="en-US"/>
        </w:rPr>
        <w:t xml:space="preserve">While considerations grounded in merit and quantifiable integration efforts, such as employment and language proficiency, hold significance universally, there exist country variations in their preferences for naturalization applicants based on their countries of origin. </w:t>
      </w:r>
    </w:p>
    <w:p w14:paraId="7EE38560" w14:textId="77777777" w:rsidR="00B441AA" w:rsidRDefault="00B441AA" w:rsidP="002F1D18">
      <w:pPr>
        <w:spacing w:after="200" w:line="360" w:lineRule="auto"/>
        <w:jc w:val="both"/>
        <w:rPr>
          <w:rFonts w:ascii="Garamond" w:hAnsi="Garamond"/>
          <w:lang w:val="en-US"/>
        </w:rPr>
      </w:pP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lastRenderedPageBreak/>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t xml:space="preserve">I use a factorial survey, a vignette study, to test the proposed hypotheses. </w:t>
      </w:r>
      <w:r w:rsidRPr="00F47784">
        <w:rPr>
          <w:rFonts w:ascii="Garamond" w:hAnsi="Garamond"/>
          <w:lang w:val="en-US"/>
        </w:rPr>
        <w:t xml:space="preserve">For the vignette study, 1,500 individuals were surveyed </w:t>
      </w:r>
      <w:commentRangeStart w:id="0"/>
      <w:r w:rsidRPr="00F47784">
        <w:rPr>
          <w:rFonts w:ascii="Garamond" w:hAnsi="Garamond"/>
          <w:lang w:val="en-US"/>
        </w:rPr>
        <w:t>online</w:t>
      </w:r>
      <w:commentRangeEnd w:id="0"/>
      <w:r w:rsidR="003424D8">
        <w:rPr>
          <w:rStyle w:val="Kommentarzeichen"/>
        </w:rPr>
        <w:commentReference w:id="0"/>
      </w:r>
      <w:r w:rsidRPr="00F47784">
        <w:rPr>
          <w:rFonts w:ascii="Garamond" w:hAnsi="Garamond"/>
          <w:lang w:val="en-US"/>
        </w:rPr>
        <w:t xml:space="preserv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6"/>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55455B92"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7"/>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w:t>
      </w:r>
      <w:r w:rsidR="00882C56">
        <w:rPr>
          <w:rFonts w:ascii="Garamond" w:hAnsi="Garamond"/>
          <w:lang w:val="en-US"/>
        </w:rPr>
        <w:t xml:space="preserve">Table A1 in the Online </w:t>
      </w:r>
      <w:r>
        <w:rPr>
          <w:rFonts w:ascii="Garamond" w:hAnsi="Garamond"/>
          <w:lang w:val="en-US"/>
        </w:rPr>
        <w:t>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lastRenderedPageBreak/>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8"/>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C00ECF5" w14:textId="77777777" w:rsidTr="00C113BA">
        <w:tc>
          <w:tcPr>
            <w:tcW w:w="1819" w:type="dxa"/>
            <w:tcMar>
              <w:top w:w="25" w:type="nil"/>
              <w:left w:w="85" w:type="nil"/>
              <w:bottom w:w="25" w:type="nil"/>
              <w:right w:w="85" w:type="nil"/>
            </w:tcMar>
            <w:vAlign w:val="center"/>
          </w:tcPr>
          <w:p w14:paraId="4E32D618" w14:textId="655AA0D1"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EAFFB3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794BAB7B" w14:textId="7045B3C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66FE7CA6" w14:textId="3D0E3BF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3D7992" w:rsidRPr="00A603D4" w14:paraId="5CA7F2CB" w14:textId="77777777" w:rsidTr="00C113BA">
        <w:tc>
          <w:tcPr>
            <w:tcW w:w="1819" w:type="dxa"/>
            <w:tcMar>
              <w:top w:w="25" w:type="nil"/>
              <w:left w:w="85" w:type="nil"/>
              <w:bottom w:w="25" w:type="nil"/>
              <w:right w:w="85" w:type="nil"/>
            </w:tcMar>
            <w:vAlign w:val="center"/>
          </w:tcPr>
          <w:p w14:paraId="5A8F481F" w14:textId="77777777" w:rsidR="003D7992" w:rsidRPr="00A603D4" w:rsidRDefault="003D7992" w:rsidP="003D7992">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3D7992" w:rsidRPr="00A603D4" w14:paraId="04AF1875" w14:textId="77777777" w:rsidTr="00C113BA">
        <w:tc>
          <w:tcPr>
            <w:tcW w:w="1819" w:type="dxa"/>
            <w:tcMar>
              <w:top w:w="25" w:type="nil"/>
              <w:left w:w="85" w:type="nil"/>
              <w:bottom w:w="25" w:type="nil"/>
              <w:right w:w="85" w:type="nil"/>
            </w:tcMar>
            <w:vAlign w:val="center"/>
          </w:tcPr>
          <w:p w14:paraId="7F06131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717639A" w14:textId="5A80E500"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4754C35E" w14:textId="1DDE26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19D7BE60" w14:textId="6E82DB8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3D7992" w:rsidRPr="00A603D4" w14:paraId="009984EC" w14:textId="77777777" w:rsidTr="00C113BA">
        <w:tc>
          <w:tcPr>
            <w:tcW w:w="1819" w:type="dxa"/>
            <w:tcMar>
              <w:top w:w="25" w:type="nil"/>
              <w:left w:w="85" w:type="nil"/>
              <w:bottom w:w="25" w:type="nil"/>
              <w:right w:w="85" w:type="nil"/>
            </w:tcMar>
            <w:vAlign w:val="center"/>
          </w:tcPr>
          <w:p w14:paraId="69F7F00B" w14:textId="5196483F"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w:t>
            </w:r>
            <w:r>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3D7992" w:rsidRPr="00A603D4" w14:paraId="2F5ABA0E" w14:textId="77777777" w:rsidTr="00C113BA">
        <w:tc>
          <w:tcPr>
            <w:tcW w:w="1819" w:type="dxa"/>
            <w:tcMar>
              <w:top w:w="25" w:type="nil"/>
              <w:left w:w="85" w:type="nil"/>
              <w:bottom w:w="25" w:type="nil"/>
              <w:right w:w="85" w:type="nil"/>
            </w:tcMar>
            <w:vAlign w:val="center"/>
          </w:tcPr>
          <w:p w14:paraId="1C8D06DC" w14:textId="2A629FA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3D7992" w:rsidRPr="00A603D4" w14:paraId="16381247" w14:textId="77777777" w:rsidTr="00C113BA">
        <w:tc>
          <w:tcPr>
            <w:tcW w:w="1819" w:type="dxa"/>
            <w:tcMar>
              <w:top w:w="25" w:type="nil"/>
              <w:left w:w="85" w:type="nil"/>
              <w:bottom w:w="25" w:type="nil"/>
              <w:right w:w="85" w:type="nil"/>
            </w:tcMar>
            <w:vAlign w:val="center"/>
          </w:tcPr>
          <w:p w14:paraId="46A07C02"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3D7992" w:rsidRPr="00A603D4" w14:paraId="7D56CEFE" w14:textId="77777777" w:rsidTr="00C113BA">
        <w:tc>
          <w:tcPr>
            <w:tcW w:w="1819" w:type="dxa"/>
            <w:tcMar>
              <w:top w:w="25" w:type="nil"/>
              <w:left w:w="85" w:type="nil"/>
              <w:bottom w:w="25" w:type="nil"/>
              <w:right w:w="85" w:type="nil"/>
            </w:tcMar>
            <w:vAlign w:val="center"/>
          </w:tcPr>
          <w:p w14:paraId="0021F68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3D7992" w:rsidRPr="00A603D4" w14:paraId="72884009" w14:textId="77777777" w:rsidTr="00C113BA">
        <w:tc>
          <w:tcPr>
            <w:tcW w:w="1819" w:type="dxa"/>
            <w:tcMar>
              <w:top w:w="25" w:type="nil"/>
              <w:left w:w="85" w:type="nil"/>
              <w:bottom w:w="25" w:type="nil"/>
              <w:right w:w="85" w:type="nil"/>
            </w:tcMar>
            <w:vAlign w:val="center"/>
          </w:tcPr>
          <w:p w14:paraId="064FD253" w14:textId="2DF4376B"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3D7992" w:rsidRPr="00A603D4" w14:paraId="64552C74" w14:textId="77777777" w:rsidTr="00C113BA">
        <w:tc>
          <w:tcPr>
            <w:tcW w:w="1819" w:type="dxa"/>
            <w:tcMar>
              <w:top w:w="25" w:type="nil"/>
              <w:left w:w="85" w:type="nil"/>
              <w:bottom w:w="25" w:type="nil"/>
              <w:right w:w="85" w:type="nil"/>
            </w:tcMar>
            <w:vAlign w:val="center"/>
          </w:tcPr>
          <w:p w14:paraId="700D9E1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3D7992" w:rsidRPr="00A603D4" w14:paraId="2E7D34F5" w14:textId="77777777" w:rsidTr="00C113BA">
        <w:tc>
          <w:tcPr>
            <w:tcW w:w="1819" w:type="dxa"/>
            <w:tcMar>
              <w:top w:w="25" w:type="nil"/>
              <w:left w:w="85" w:type="nil"/>
              <w:bottom w:w="25" w:type="nil"/>
              <w:right w:w="85" w:type="nil"/>
            </w:tcMar>
            <w:vAlign w:val="center"/>
          </w:tcPr>
          <w:p w14:paraId="329741CC" w14:textId="722C33B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BB45483" w14:textId="77777777" w:rsidTr="00C113BA">
        <w:tc>
          <w:tcPr>
            <w:tcW w:w="1819" w:type="dxa"/>
            <w:tcMar>
              <w:top w:w="25" w:type="nil"/>
              <w:left w:w="85" w:type="nil"/>
              <w:bottom w:w="25" w:type="nil"/>
              <w:right w:w="85" w:type="nil"/>
            </w:tcMar>
            <w:vAlign w:val="center"/>
          </w:tcPr>
          <w:p w14:paraId="1465591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3D7992" w:rsidRPr="00A603D4" w14:paraId="4CA31A3E" w14:textId="77777777" w:rsidTr="00C113BA">
        <w:tc>
          <w:tcPr>
            <w:tcW w:w="1819" w:type="dxa"/>
            <w:tcMar>
              <w:top w:w="25" w:type="nil"/>
              <w:left w:w="85" w:type="nil"/>
              <w:bottom w:w="25" w:type="nil"/>
              <w:right w:w="85" w:type="nil"/>
            </w:tcMar>
            <w:vAlign w:val="center"/>
          </w:tcPr>
          <w:p w14:paraId="601B0D9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3D7992" w:rsidRPr="00A603D4" w14:paraId="2676533E" w14:textId="77777777" w:rsidTr="00C113BA">
        <w:tc>
          <w:tcPr>
            <w:tcW w:w="1819" w:type="dxa"/>
            <w:tcMar>
              <w:top w:w="25" w:type="nil"/>
              <w:left w:w="85" w:type="nil"/>
              <w:bottom w:w="25" w:type="nil"/>
              <w:right w:w="85" w:type="nil"/>
            </w:tcMar>
            <w:vAlign w:val="center"/>
          </w:tcPr>
          <w:p w14:paraId="28329B29" w14:textId="72228C6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3D7992" w:rsidRPr="00A603D4" w14:paraId="28E539DC" w14:textId="77777777" w:rsidTr="00C113BA">
        <w:tc>
          <w:tcPr>
            <w:tcW w:w="1819" w:type="dxa"/>
            <w:tcMar>
              <w:top w:w="25" w:type="nil"/>
              <w:left w:w="85" w:type="nil"/>
              <w:bottom w:w="25" w:type="nil"/>
              <w:right w:w="85" w:type="nil"/>
            </w:tcMar>
            <w:vAlign w:val="center"/>
          </w:tcPr>
          <w:p w14:paraId="6D2B7E5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6EF8D26E"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52D66706" w14:textId="5AADB9C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063B3823" w14:textId="55BDC04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3D7992" w:rsidRPr="00A603D4" w14:paraId="419D10A8" w14:textId="77777777" w:rsidTr="00C113BA">
        <w:tc>
          <w:tcPr>
            <w:tcW w:w="1819" w:type="dxa"/>
            <w:tcMar>
              <w:top w:w="25" w:type="nil"/>
              <w:left w:w="85" w:type="nil"/>
              <w:bottom w:w="25" w:type="nil"/>
              <w:right w:w="85" w:type="nil"/>
            </w:tcMar>
            <w:vAlign w:val="center"/>
          </w:tcPr>
          <w:p w14:paraId="7CE967AA"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17832D2E"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SPD</w:t>
            </w:r>
          </w:p>
        </w:tc>
        <w:tc>
          <w:tcPr>
            <w:tcW w:w="2160" w:type="dxa"/>
            <w:gridSpan w:val="2"/>
            <w:tcMar>
              <w:top w:w="25" w:type="nil"/>
              <w:left w:w="85" w:type="nil"/>
              <w:bottom w:w="25" w:type="nil"/>
              <w:right w:w="85" w:type="nil"/>
            </w:tcMar>
            <w:vAlign w:val="center"/>
          </w:tcPr>
          <w:p w14:paraId="6804AA6D" w14:textId="5D9AB7B8"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212</w:t>
            </w:r>
          </w:p>
        </w:tc>
        <w:tc>
          <w:tcPr>
            <w:tcW w:w="2160" w:type="dxa"/>
            <w:tcMar>
              <w:top w:w="25" w:type="nil"/>
              <w:left w:w="85" w:type="nil"/>
              <w:bottom w:w="25" w:type="nil"/>
              <w:right w:w="85" w:type="nil"/>
            </w:tcMar>
            <w:vAlign w:val="center"/>
          </w:tcPr>
          <w:p w14:paraId="160B1122" w14:textId="11E01BE4"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14.1</w:t>
            </w:r>
          </w:p>
        </w:tc>
      </w:tr>
      <w:tr w:rsidR="003D7992" w:rsidRPr="00A603D4" w14:paraId="45891D85" w14:textId="77777777" w:rsidTr="00C113BA">
        <w:tc>
          <w:tcPr>
            <w:tcW w:w="1819" w:type="dxa"/>
            <w:tcMar>
              <w:top w:w="25" w:type="nil"/>
              <w:left w:w="85" w:type="nil"/>
              <w:bottom w:w="25" w:type="nil"/>
              <w:right w:w="85" w:type="nil"/>
            </w:tcMar>
            <w:vAlign w:val="center"/>
          </w:tcPr>
          <w:p w14:paraId="4194C590"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3D7992" w:rsidRPr="00A603D4" w14:paraId="41DF25BE" w14:textId="77777777" w:rsidTr="00C113BA">
        <w:tc>
          <w:tcPr>
            <w:tcW w:w="1819" w:type="dxa"/>
            <w:tcMar>
              <w:top w:w="25" w:type="nil"/>
              <w:left w:w="85" w:type="nil"/>
              <w:bottom w:w="25" w:type="nil"/>
              <w:right w:w="85" w:type="nil"/>
            </w:tcMar>
            <w:vAlign w:val="center"/>
          </w:tcPr>
          <w:p w14:paraId="383E4611" w14:textId="19433D12"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3D7992" w:rsidRPr="00A603D4" w14:paraId="33025637" w14:textId="77777777" w:rsidTr="00C113BA">
        <w:tc>
          <w:tcPr>
            <w:tcW w:w="1819" w:type="dxa"/>
            <w:tcMar>
              <w:top w:w="25" w:type="nil"/>
              <w:left w:w="85" w:type="nil"/>
              <w:bottom w:w="25" w:type="nil"/>
              <w:right w:w="85" w:type="nil"/>
            </w:tcMar>
            <w:vAlign w:val="center"/>
          </w:tcPr>
          <w:p w14:paraId="28B7C8F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3D7992" w:rsidRPr="00A603D4" w14:paraId="2B6A3F5B" w14:textId="77777777" w:rsidTr="00C113BA">
        <w:tc>
          <w:tcPr>
            <w:tcW w:w="1819" w:type="dxa"/>
            <w:tcMar>
              <w:top w:w="25" w:type="nil"/>
              <w:left w:w="85" w:type="nil"/>
              <w:bottom w:w="25" w:type="nil"/>
              <w:right w:w="85" w:type="nil"/>
            </w:tcMar>
            <w:vAlign w:val="center"/>
          </w:tcPr>
          <w:p w14:paraId="13B56041"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03A5955" w14:textId="7F2A1EF1"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Other</w:t>
            </w:r>
          </w:p>
        </w:tc>
        <w:tc>
          <w:tcPr>
            <w:tcW w:w="2160" w:type="dxa"/>
            <w:gridSpan w:val="2"/>
            <w:tcMar>
              <w:top w:w="25" w:type="nil"/>
              <w:left w:w="85" w:type="nil"/>
              <w:bottom w:w="25" w:type="nil"/>
              <w:right w:w="85" w:type="nil"/>
            </w:tcMar>
            <w:vAlign w:val="center"/>
          </w:tcPr>
          <w:p w14:paraId="4981E2CD" w14:textId="0DF20E1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16E6B2E8" w14:textId="1A13830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3D7992" w:rsidRPr="00A603D4" w14:paraId="2FF68031" w14:textId="77777777" w:rsidTr="00C113BA">
        <w:tc>
          <w:tcPr>
            <w:tcW w:w="1819" w:type="dxa"/>
            <w:tcMar>
              <w:top w:w="25" w:type="nil"/>
              <w:left w:w="85" w:type="nil"/>
              <w:bottom w:w="25" w:type="nil"/>
              <w:right w:w="85" w:type="nil"/>
            </w:tcMar>
            <w:vAlign w:val="center"/>
          </w:tcPr>
          <w:p w14:paraId="690CE9A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F6C7134" w14:textId="1FC94052"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6E3FA0F1" w14:textId="06B53A7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1A0E4194" w14:textId="7191D02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3D7992"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3D7992" w:rsidRPr="00A603D4" w:rsidRDefault="003D7992" w:rsidP="003D7992">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100</w:t>
            </w:r>
          </w:p>
        </w:tc>
      </w:tr>
      <w:tr w:rsidR="003D7992"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3D7992" w:rsidRPr="00A603D4" w:rsidRDefault="003D7992" w:rsidP="003D7992">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3D7992" w:rsidRPr="00A603D4" w:rsidRDefault="003D7992" w:rsidP="003D7992">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3D7992" w:rsidRPr="00A603D4" w:rsidRDefault="003D7992" w:rsidP="003D7992">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3D7992"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3D7992" w:rsidRPr="00A603D4" w:rsidRDefault="003D7992" w:rsidP="003D7992">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3D7992"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highlights 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lastRenderedPageBreak/>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3D74B37E"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70F96" w:rsidRPr="006B01FD">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47D9796"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w:t>
      </w:r>
      <w:r w:rsidR="005510FC">
        <w:rPr>
          <w:rFonts w:ascii="Garamond" w:hAnsi="Garamond"/>
          <w:lang w:val="en-US"/>
        </w:rPr>
        <w:t>-</w:t>
      </w:r>
      <w:r w:rsidR="00E0332F">
        <w:rPr>
          <w:rFonts w:ascii="Garamond" w:hAnsi="Garamond"/>
          <w:lang w:val="en-US"/>
        </w:rPr>
        <w:t>ratio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DD19CE" w:rsidRPr="002F6112">
        <w:rPr>
          <w:rFonts w:ascii="Garamond" w:hAnsi="Garamond"/>
          <w:highlight w:val="yellow"/>
          <w:lang w:val="en-US"/>
        </w:rPr>
        <w:t>XX</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lastRenderedPageBreak/>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6028DA3E"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2F6112" w:rsidRPr="002F6112">
        <w:rPr>
          <w:rFonts w:ascii="Garamond" w:hAnsi="Garamond"/>
          <w:highlight w:val="yellow"/>
          <w:lang w:val="en-US"/>
        </w:rPr>
        <w:t>XX</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0E7D55A2"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3CD3948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w:t>
      </w:r>
      <w:r w:rsidR="003D7992">
        <w:rPr>
          <w:rFonts w:ascii="Garamond" w:hAnsi="Garamond"/>
          <w:lang w:val="en-US"/>
        </w:rPr>
        <w:t>6</w:t>
      </w:r>
      <w:r>
        <w:rPr>
          <w:rFonts w:ascii="Garamond" w:hAnsi="Garamond"/>
          <w:lang w:val="en-US"/>
        </w:rPr>
        <w:t xml:space="preserve">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w:t>
      </w:r>
      <w:r>
        <w:rPr>
          <w:rFonts w:ascii="Garamond" w:hAnsi="Garamond"/>
          <w:lang w:val="en-US"/>
        </w:rPr>
        <w:lastRenderedPageBreak/>
        <w:t xml:space="preserve">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427B4D24"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3D7992">
        <w:rPr>
          <w:rFonts w:ascii="Garamond" w:hAnsi="Garamond"/>
          <w:b/>
          <w:bCs/>
          <w:lang w:val="en-US"/>
        </w:rPr>
        <w:t>6</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70F96" w:rsidRPr="00EE5909">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6F1CB1B2"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w:t>
      </w:r>
      <w:r w:rsidR="003D7992">
        <w:rPr>
          <w:rFonts w:ascii="Garamond" w:hAnsi="Garamond"/>
          <w:lang w:val="en-US"/>
        </w:rPr>
        <w:t>7</w:t>
      </w:r>
      <w:r w:rsidR="00534725">
        <w:rPr>
          <w:rFonts w:ascii="Garamond" w:hAnsi="Garamond"/>
          <w:lang w:val="en-US"/>
        </w:rPr>
        <w:t xml:space="preserve">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w:t>
      </w:r>
      <w:commentRangeStart w:id="1"/>
      <w:r w:rsidR="00974EB1">
        <w:rPr>
          <w:rFonts w:ascii="Garamond" w:hAnsi="Garamond"/>
          <w:lang w:val="en-US"/>
        </w:rPr>
        <w:t>(Panel B)</w:t>
      </w:r>
      <w:commentRangeEnd w:id="1"/>
      <w:r w:rsidR="003D7992">
        <w:rPr>
          <w:rStyle w:val="Kommentarzeichen"/>
        </w:rPr>
        <w:commentReference w:id="1"/>
      </w:r>
      <w:r w:rsidR="00974EB1">
        <w:rPr>
          <w:rFonts w:ascii="Garamond" w:hAnsi="Garamond"/>
          <w:lang w:val="en-US"/>
        </w:rPr>
        <w:t xml:space="preserve">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54EC15B0"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3D7992">
        <w:rPr>
          <w:rFonts w:ascii="Garamond" w:hAnsi="Garamond"/>
          <w:b/>
          <w:bCs/>
          <w:lang w:val="en-US"/>
        </w:rPr>
        <w:t>7</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Pr="00F434D4">
        <w:rPr>
          <w:rFonts w:ascii="Garamond" w:hAnsi="Garamond"/>
          <w:highlight w:val="yellow"/>
          <w:lang w:val="en-US"/>
        </w:rPr>
        <w:t>XX</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33C5240A"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Pr="001F55BC">
        <w:rPr>
          <w:rFonts w:ascii="Garamond" w:hAnsi="Garamond"/>
          <w:highlight w:val="yellow"/>
          <w:lang w:val="en-US"/>
        </w:rPr>
        <w:t>XX</w:t>
      </w:r>
      <w:r>
        <w:rPr>
          <w:rFonts w:ascii="Garamond" w:hAnsi="Garamond"/>
          <w:lang w:val="en-US"/>
        </w:rPr>
        <w:t xml:space="preserve"> in the 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60A02805"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681A85">
        <w:rPr>
          <w:rFonts w:ascii="Garamond" w:hAnsi="Garamond"/>
          <w:lang w:val="en-US"/>
        </w:rPr>
        <w:t xml:space="preserve">Appendix </w:t>
      </w:r>
      <w:r w:rsidR="00681A85" w:rsidRPr="00D50BEE">
        <w:rPr>
          <w:rFonts w:ascii="Garamond" w:hAnsi="Garamond"/>
          <w:highlight w:val="yellow"/>
          <w:lang w:val="en-US"/>
        </w:rPr>
        <w:t>X</w:t>
      </w:r>
      <w:r w:rsidR="00D50BEE" w:rsidRPr="00D50BEE">
        <w:rPr>
          <w:rFonts w:ascii="Garamond" w:hAnsi="Garamond"/>
          <w:highlight w:val="yellow"/>
          <w:lang w:val="en-US"/>
        </w:rPr>
        <w:t>X</w:t>
      </w:r>
      <w:r w:rsidR="00681A85">
        <w:rPr>
          <w:rFonts w:ascii="Garamond" w:hAnsi="Garamond"/>
          <w:lang w:val="en-US"/>
        </w:rPr>
        <w:t xml:space="preserve">.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3BBAF12C"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125163">
        <w:rPr>
          <w:rFonts w:ascii="Garamond" w:hAnsi="Garamond"/>
          <w:lang w:val="en-US"/>
        </w:rPr>
        <w:t xml:space="preserve">provided </w:t>
      </w:r>
      <w:r w:rsidR="00D50BEE">
        <w:rPr>
          <w:rFonts w:ascii="Garamond" w:hAnsi="Garamond"/>
          <w:lang w:val="en-US"/>
        </w:rPr>
        <w:t>by</w:t>
      </w:r>
      <w:r w:rsidR="0094471A">
        <w:rPr>
          <w:rFonts w:ascii="Garamond" w:hAnsi="Garamond"/>
          <w:lang w:val="en-US"/>
        </w:rPr>
        <w:t xml:space="preserve"> the</w:t>
      </w:r>
      <w:r w:rsidR="00125163">
        <w:rPr>
          <w:rFonts w:ascii="Garamond" w:hAnsi="Garamond"/>
          <w:lang w:val="en-US"/>
        </w:rPr>
        <w:t xml:space="preserve"> </w:t>
      </w:r>
      <w:r w:rsidR="0094471A">
        <w:rPr>
          <w:rFonts w:ascii="Garamond" w:hAnsi="Garamond"/>
          <w:lang w:val="en-US"/>
        </w:rPr>
        <w:t xml:space="preserve">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D50BEE" w:rsidRPr="00403365">
        <w:rPr>
          <w:rFonts w:ascii="Garamond" w:hAnsi="Garamond"/>
          <w:highlight w:val="yellow"/>
          <w:lang w:val="en-US"/>
        </w:rPr>
        <w:t>XX</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53F263ED" w14:textId="5FE1FCEC" w:rsidR="003D7992" w:rsidRDefault="003D7992" w:rsidP="002F1D18">
      <w:pPr>
        <w:spacing w:after="200" w:line="360" w:lineRule="auto"/>
        <w:jc w:val="both"/>
        <w:rPr>
          <w:rFonts w:ascii="Garamond" w:hAnsi="Garamond"/>
          <w:lang w:val="en-US"/>
        </w:rPr>
      </w:pPr>
      <w:r>
        <w:rPr>
          <w:rFonts w:ascii="Garamond" w:hAnsi="Garamond"/>
          <w:lang w:val="en-US"/>
        </w:rPr>
        <w:t xml:space="preserve">Against the backdrop of a significant law reform and heightened immigration concerns, this study explores public attitudes toward naturalization requirements and hypothetical applicants in Germany. Naturalizations, being pivotal membership decisions, invariably spark intense debates as they touch upon the essence of any political community, addressing the question on who ‘we’ are and who should belong. Traditionally perceived as adhering to an ethnocultural understanding of citizenship, Germany’s naturalization law has undergone multiple amendments since reunification to adapt to evolving demographics. Despite these reforms, naturalization rates remained relatively low until recently, with scholar pointing to citizenship renunciation requirements as a significant obstacle for applicants. </w:t>
      </w:r>
    </w:p>
    <w:p w14:paraId="6A52140B" w14:textId="7EB3A65D" w:rsidR="003D7992" w:rsidRDefault="003D7992" w:rsidP="002F1D18">
      <w:pPr>
        <w:spacing w:after="200" w:line="360" w:lineRule="auto"/>
        <w:jc w:val="both"/>
        <w:rPr>
          <w:rFonts w:ascii="Garamond" w:hAnsi="Garamond"/>
          <w:lang w:val="en-US"/>
        </w:rPr>
      </w:pPr>
      <w:r>
        <w:rPr>
          <w:rFonts w:ascii="Garamond" w:hAnsi="Garamond"/>
          <w:lang w:val="en-US"/>
        </w:rPr>
        <w:t xml:space="preserve">Using data from the German ALLBUS, this article confirms a departure from ethnic criteria, such as German descent or birthright citizenship. Instead, instrumental criteria like language proficiency and economic independence have gained prominence over time, indicating a synchronization of public opinion with political reforms. Regarding the contentious issue of dual citizenship, a key focus of the current reform, the population appears nearly evenly split. Building upon these insights, a vignette study was implemented to explore how individuals decide between different naturalization candidates. </w:t>
      </w:r>
    </w:p>
    <w:p w14:paraId="027C0D61" w14:textId="41DAEDD2" w:rsidR="003D7992" w:rsidRPr="003D7992" w:rsidRDefault="003D7992" w:rsidP="003D7992">
      <w:pPr>
        <w:spacing w:after="200" w:line="360" w:lineRule="auto"/>
        <w:jc w:val="both"/>
        <w:rPr>
          <w:rFonts w:ascii="Garamond" w:hAnsi="Garamond"/>
          <w:lang w:val="en-US"/>
        </w:rPr>
      </w:pPr>
      <w:r w:rsidRPr="003D7992">
        <w:rPr>
          <w:rFonts w:ascii="Garamond" w:hAnsi="Garamond"/>
          <w:lang w:val="en-US"/>
        </w:rPr>
        <w:t>The analysis underscored a preference for naturalization applicants from culturally similar countries, while characteristics such as German language proficiency, stable employment, and a longer residence period, indicative of advanced integration, played a more significant role in the decision-making process. Notably, applicants willing to renounce their current citizenship received preferential treatment compared to those intending to retain their existing citizenship. Further examination revealed that the importance of the renunciation requirement was particularly pronounced among older respondents.</w:t>
      </w:r>
      <w:r>
        <w:rPr>
          <w:rFonts w:ascii="Garamond" w:hAnsi="Garamond"/>
          <w:lang w:val="en-US"/>
        </w:rPr>
        <w:t xml:space="preserve"> </w:t>
      </w:r>
    </w:p>
    <w:p w14:paraId="518A478A" w14:textId="42E7132F" w:rsidR="003D7992" w:rsidRDefault="003D7992" w:rsidP="002F1D18">
      <w:pPr>
        <w:spacing w:after="200" w:line="360" w:lineRule="auto"/>
        <w:jc w:val="both"/>
        <w:rPr>
          <w:rFonts w:ascii="Garamond" w:hAnsi="Garamond"/>
          <w:lang w:val="en-US"/>
        </w:rPr>
      </w:pPr>
      <w:r w:rsidRPr="003D7992">
        <w:rPr>
          <w:rFonts w:ascii="Garamond" w:hAnsi="Garamond"/>
          <w:lang w:val="en-US"/>
        </w:rPr>
        <w:t xml:space="preserve">The desire to retain one's current citizenship has, at times in public discourse, been interpreted as a lack of loyalty or insufficient commitment in the naturalization process. </w:t>
      </w:r>
      <w:r>
        <w:rPr>
          <w:rFonts w:ascii="Garamond" w:hAnsi="Garamond"/>
          <w:lang w:val="en-US"/>
        </w:rPr>
        <w:t>For</w:t>
      </w:r>
      <w:r w:rsidRPr="003D7992">
        <w:rPr>
          <w:rFonts w:ascii="Garamond" w:hAnsi="Garamond"/>
          <w:lang w:val="en-US"/>
        </w:rPr>
        <w:t xml:space="preserve"> younger individuals, holding multiple citizenships </w:t>
      </w:r>
      <w:r>
        <w:rPr>
          <w:rFonts w:ascii="Garamond" w:hAnsi="Garamond"/>
          <w:lang w:val="en-US"/>
        </w:rPr>
        <w:t>is increasingly</w:t>
      </w:r>
      <w:r w:rsidRPr="003D7992">
        <w:rPr>
          <w:rFonts w:ascii="Garamond" w:hAnsi="Garamond"/>
          <w:lang w:val="en-US"/>
        </w:rPr>
        <w:t xml:space="preserve"> </w:t>
      </w:r>
      <w:r>
        <w:rPr>
          <w:rFonts w:ascii="Garamond" w:hAnsi="Garamond"/>
          <w:lang w:val="en-US"/>
        </w:rPr>
        <w:t>considered</w:t>
      </w:r>
      <w:r w:rsidRPr="003D7992">
        <w:rPr>
          <w:rFonts w:ascii="Garamond" w:hAnsi="Garamond"/>
          <w:lang w:val="en-US"/>
        </w:rPr>
        <w:t xml:space="preserve"> normal as Germany has become more diverse. Anticipating future cohort replacements, it is reasonable to expect increased public acceptance of dual citizenship in the years to come.</w:t>
      </w:r>
      <w:r>
        <w:rPr>
          <w:rFonts w:ascii="Garamond" w:hAnsi="Garamond"/>
          <w:lang w:val="en-US"/>
        </w:rPr>
        <w:t xml:space="preserve"> </w:t>
      </w:r>
    </w:p>
    <w:p w14:paraId="341831C6" w14:textId="4DC505F5" w:rsidR="00B441AA" w:rsidRDefault="00B441AA" w:rsidP="002F1D18">
      <w:pPr>
        <w:spacing w:after="200" w:line="360" w:lineRule="auto"/>
        <w:jc w:val="both"/>
        <w:rPr>
          <w:rFonts w:ascii="Garamond" w:hAnsi="Garamond"/>
          <w:lang w:val="en-US"/>
        </w:rPr>
      </w:pPr>
      <w:r>
        <w:rPr>
          <w:rFonts w:ascii="Garamond" w:hAnsi="Garamond"/>
          <w:lang w:val="en-US"/>
        </w:rPr>
        <w:t xml:space="preserve">In recent years, Germany has grappled with the acceptance of a significant number of refugees, stemming from the civil war in Syria and the Russian invasion of Ukraine. The ensuing societal challenges related to integration and accommodation have been heavily politicized by right-wing parties, contributing to the escalation of immigration concerns. The empirical analysis underscores </w:t>
      </w:r>
      <w:r>
        <w:rPr>
          <w:rFonts w:ascii="Garamond" w:hAnsi="Garamond"/>
          <w:lang w:val="en-US"/>
        </w:rPr>
        <w:lastRenderedPageBreak/>
        <w:t xml:space="preserve">that apprehensions about immigration are associated with decreased support for naturalizations. Furthermore, individuals expressing immigration concerns place heightened importance on stable employment of applicants, revealing an intertwining of immigration and economic anxieties. However, it is noteworthy that individuals with such concerns are also less likely to support the naturalization of applicants from Turkey and India compared to those of British nationals, signaling a potential undercurrent of xenophobia. </w:t>
      </w:r>
    </w:p>
    <w:p w14:paraId="0470B5C7" w14:textId="5FC3BAD2" w:rsidR="00B441AA" w:rsidRDefault="00B441AA" w:rsidP="002F1D18">
      <w:pPr>
        <w:spacing w:after="200" w:line="360" w:lineRule="auto"/>
        <w:jc w:val="both"/>
        <w:rPr>
          <w:rFonts w:ascii="Garamond" w:hAnsi="Garamond"/>
          <w:lang w:val="en-US"/>
        </w:rPr>
      </w:pPr>
      <w:r>
        <w:rPr>
          <w:rFonts w:ascii="Garamond" w:hAnsi="Garamond"/>
          <w:lang w:val="en-US"/>
        </w:rPr>
        <w:t xml:space="preserve">Future studies should delve into the multi-faceted nature of immigrations concerns, employing measures suitable to unravel the roots of these apprehensions. Additionally, prospective research should explore whether the varying assessment of dual citizenship between younger and older respondents is attributed to age, period, or cohort effects. Finally, research on citizenship policies and public attitudes toward naturalizations should scrutinize the extent to which policies and attitudes align. The ongoing citizenship law reform provides a unique opportunity to assess whether the proposed acceptance of dual citizenship might foster more positive views of naturalization applicants opting to retain their existing citizenship.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2162EF12" w14:textId="77777777" w:rsidR="00B441AA" w:rsidRPr="00B441AA" w:rsidRDefault="00611154" w:rsidP="00B441AA">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r w:rsidR="00B441AA" w:rsidRPr="00B441AA">
        <w:rPr>
          <w:rFonts w:ascii="Times New Roman" w:hAnsi="Times New Roman" w:cs="Times New Roman"/>
          <w:kern w:val="0"/>
          <w:lang w:val="en-US"/>
        </w:rPr>
        <w:t xml:space="preserve">Atzmüller, Christiane, and Peter M. Steiner. 2010. “Experimental Vignette Studies in Survey Research.” </w:t>
      </w:r>
      <w:r w:rsidR="00B441AA" w:rsidRPr="00B441AA">
        <w:rPr>
          <w:rFonts w:ascii="Times New Roman" w:hAnsi="Times New Roman" w:cs="Times New Roman"/>
          <w:i/>
          <w:iCs/>
          <w:kern w:val="0"/>
          <w:lang w:val="en-US"/>
        </w:rPr>
        <w:t>Methodology</w:t>
      </w:r>
      <w:r w:rsidR="00B441AA" w:rsidRPr="00B441AA">
        <w:rPr>
          <w:rFonts w:ascii="Times New Roman" w:hAnsi="Times New Roman" w:cs="Times New Roman"/>
          <w:kern w:val="0"/>
          <w:lang w:val="en-US"/>
        </w:rPr>
        <w:t xml:space="preserve"> 6 (3): 128–38. https://doi.org/10.1027/1614-2241/a000014.</w:t>
      </w:r>
    </w:p>
    <w:p w14:paraId="6B7A4BE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Auspurg, Katrin, and Thomas Hinz. 2015. </w:t>
      </w:r>
      <w:r w:rsidRPr="00B441AA">
        <w:rPr>
          <w:rFonts w:ascii="Times New Roman" w:hAnsi="Times New Roman" w:cs="Times New Roman"/>
          <w:i/>
          <w:iCs/>
          <w:kern w:val="0"/>
          <w:lang w:val="en-US"/>
        </w:rPr>
        <w:t>Factorial Survey Experiments</w:t>
      </w:r>
      <w:r w:rsidRPr="00B441AA">
        <w:rPr>
          <w:rFonts w:ascii="Times New Roman" w:hAnsi="Times New Roman" w:cs="Times New Roman"/>
          <w:kern w:val="0"/>
          <w:lang w:val="en-US"/>
        </w:rPr>
        <w:t>. Quantitative Applications in the Social Sciences 175. Thousand Oaks, Calif.: Sage.</w:t>
      </w:r>
    </w:p>
    <w:p w14:paraId="4DBE7F89"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656AFF">
        <w:rPr>
          <w:rFonts w:ascii="Times New Roman" w:hAnsi="Times New Roman" w:cs="Times New Roman"/>
          <w:kern w:val="0"/>
          <w:lang w:val="en-US"/>
        </w:rPr>
        <w:t>Auspurg</w:t>
      </w:r>
      <w:proofErr w:type="spellEnd"/>
      <w:r w:rsidRPr="00656AFF">
        <w:rPr>
          <w:rFonts w:ascii="Times New Roman" w:hAnsi="Times New Roman" w:cs="Times New Roman"/>
          <w:kern w:val="0"/>
          <w:lang w:val="en-US"/>
        </w:rPr>
        <w:t xml:space="preserve">, Katrin, Thomas </w:t>
      </w:r>
      <w:proofErr w:type="spellStart"/>
      <w:r w:rsidRPr="00656AFF">
        <w:rPr>
          <w:rFonts w:ascii="Times New Roman" w:hAnsi="Times New Roman" w:cs="Times New Roman"/>
          <w:kern w:val="0"/>
          <w:lang w:val="en-US"/>
        </w:rPr>
        <w:t>Hinz</w:t>
      </w:r>
      <w:proofErr w:type="spellEnd"/>
      <w:r w:rsidRPr="00656AFF">
        <w:rPr>
          <w:rFonts w:ascii="Times New Roman" w:hAnsi="Times New Roman" w:cs="Times New Roman"/>
          <w:kern w:val="0"/>
          <w:lang w:val="en-US"/>
        </w:rPr>
        <w:t xml:space="preserve">, Stefan Liebig, and Carsten Sauer. </w:t>
      </w:r>
      <w:r w:rsidRPr="00B441AA">
        <w:rPr>
          <w:rFonts w:ascii="Times New Roman" w:hAnsi="Times New Roman" w:cs="Times New Roman"/>
          <w:kern w:val="0"/>
          <w:lang w:val="en-US"/>
        </w:rPr>
        <w:t xml:space="preserve">2015. “The Factorial Survey as a Method for Measuring Sensitive Issues.” In </w:t>
      </w:r>
      <w:r w:rsidRPr="00B441AA">
        <w:rPr>
          <w:rFonts w:ascii="Times New Roman" w:hAnsi="Times New Roman" w:cs="Times New Roman"/>
          <w:i/>
          <w:iCs/>
          <w:kern w:val="0"/>
          <w:lang w:val="en-US"/>
        </w:rPr>
        <w:t>Improving Survey Methods. Lessons from Recent Research</w:t>
      </w:r>
      <w:r w:rsidRPr="00B441AA">
        <w:rPr>
          <w:rFonts w:ascii="Times New Roman" w:hAnsi="Times New Roman" w:cs="Times New Roman"/>
          <w:kern w:val="0"/>
          <w:lang w:val="en-US"/>
        </w:rPr>
        <w:t>, edited by Uwe Engel, Ben Jann, Peter Lynn, Annette Scherpenzeel, and Patrick Sturgis, 137–49. European Association of Methodology Series. New York: Routledge.</w:t>
      </w:r>
    </w:p>
    <w:p w14:paraId="202F817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Baguley, Thom, Grace Dunham, and Oonagh Steer. 2022. “Statistical Modelling of Vignette Data in Psychology.” </w:t>
      </w:r>
      <w:r w:rsidRPr="00B441AA">
        <w:rPr>
          <w:rFonts w:ascii="Times New Roman" w:hAnsi="Times New Roman" w:cs="Times New Roman"/>
          <w:i/>
          <w:iCs/>
          <w:kern w:val="0"/>
          <w:lang w:val="en-US"/>
        </w:rPr>
        <w:t>British Journal of Psychology</w:t>
      </w:r>
      <w:r w:rsidRPr="00B441AA">
        <w:rPr>
          <w:rFonts w:ascii="Times New Roman" w:hAnsi="Times New Roman" w:cs="Times New Roman"/>
          <w:kern w:val="0"/>
          <w:lang w:val="en-US"/>
        </w:rPr>
        <w:t xml:space="preserve"> 113 (4): 1143–63. https://doi.org/10.1111/bjop.12577.</w:t>
      </w:r>
    </w:p>
    <w:p w14:paraId="59866BC6"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Bloemraad, Irene. 2018. “Theorising the Power of Citizenship as Claims-Making.”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44 (1): 4–26. https://doi.org/10.1080/1369183X.2018.1396108.</w:t>
      </w:r>
    </w:p>
    <w:p w14:paraId="14E177F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Bloemraad, Irene, and Alicia Sheares. 2017. “Understanding Membership in a World of Global Migration: (How) Does Citizenship Matter?” </w:t>
      </w:r>
      <w:r w:rsidRPr="00B441AA">
        <w:rPr>
          <w:rFonts w:ascii="Times New Roman" w:hAnsi="Times New Roman" w:cs="Times New Roman"/>
          <w:i/>
          <w:iCs/>
          <w:kern w:val="0"/>
          <w:lang w:val="en-US"/>
        </w:rPr>
        <w:t>International Migration Review</w:t>
      </w:r>
      <w:r w:rsidRPr="00B441AA">
        <w:rPr>
          <w:rFonts w:ascii="Times New Roman" w:hAnsi="Times New Roman" w:cs="Times New Roman"/>
          <w:kern w:val="0"/>
          <w:lang w:val="en-US"/>
        </w:rPr>
        <w:t xml:space="preserve"> 51 (4): 823–67. https://doi.org/10.1111/imre.12354.</w:t>
      </w:r>
    </w:p>
    <w:p w14:paraId="28C38A2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Brubaker, Rogers. 1992. </w:t>
      </w:r>
      <w:r w:rsidRPr="00B441AA">
        <w:rPr>
          <w:rFonts w:ascii="Times New Roman" w:hAnsi="Times New Roman" w:cs="Times New Roman"/>
          <w:i/>
          <w:iCs/>
          <w:kern w:val="0"/>
          <w:lang w:val="en-US"/>
        </w:rPr>
        <w:t>Citizenship and Nationhood in France and Germany</w:t>
      </w:r>
      <w:r w:rsidRPr="00B441AA">
        <w:rPr>
          <w:rFonts w:ascii="Times New Roman" w:hAnsi="Times New Roman" w:cs="Times New Roman"/>
          <w:kern w:val="0"/>
          <w:lang w:val="en-US"/>
        </w:rPr>
        <w:t>. Cambridge, Mass: Harvard University Press.</w:t>
      </w:r>
    </w:p>
    <w:p w14:paraId="7097008F"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Diehl, Claudia, and Ingrid Tucci. </w:t>
      </w:r>
      <w:r w:rsidRPr="00656AFF">
        <w:rPr>
          <w:rFonts w:ascii="Times New Roman" w:hAnsi="Times New Roman" w:cs="Times New Roman"/>
          <w:kern w:val="0"/>
          <w:lang w:val="en-US"/>
        </w:rPr>
        <w:t xml:space="preserve">2011. “Who Can Become German? </w:t>
      </w:r>
      <w:r w:rsidRPr="00B441AA">
        <w:rPr>
          <w:rFonts w:ascii="Times New Roman" w:hAnsi="Times New Roman" w:cs="Times New Roman"/>
          <w:kern w:val="0"/>
          <w:lang w:val="en-US"/>
        </w:rPr>
        <w:t xml:space="preserve">Xenophobia and Attitudes towards Naturalization.” </w:t>
      </w:r>
      <w:r w:rsidRPr="00B441AA">
        <w:rPr>
          <w:rFonts w:ascii="Times New Roman" w:hAnsi="Times New Roman" w:cs="Times New Roman"/>
          <w:i/>
          <w:iCs/>
          <w:kern w:val="0"/>
          <w:lang w:val="en-US"/>
        </w:rPr>
        <w:t>DIW Economic Bulletin</w:t>
      </w:r>
      <w:r w:rsidRPr="00B441AA">
        <w:rPr>
          <w:rFonts w:ascii="Times New Roman" w:hAnsi="Times New Roman" w:cs="Times New Roman"/>
          <w:kern w:val="0"/>
          <w:lang w:val="en-US"/>
        </w:rPr>
        <w:t xml:space="preserve"> 1 (3): 3–8.</w:t>
      </w:r>
    </w:p>
    <w:p w14:paraId="6BFD4F5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Donnaloja, Victoria. 2022. “British Nationals’ Preferences Over Who Gets to Be a Citizen According to a Choice-Based Conjoint Experiment.” </w:t>
      </w:r>
      <w:r w:rsidRPr="00B441AA">
        <w:rPr>
          <w:rFonts w:ascii="Times New Roman" w:hAnsi="Times New Roman" w:cs="Times New Roman"/>
          <w:i/>
          <w:iCs/>
          <w:kern w:val="0"/>
          <w:lang w:val="en-US"/>
        </w:rPr>
        <w:t>European Sociological Review</w:t>
      </w:r>
      <w:r w:rsidRPr="00B441AA">
        <w:rPr>
          <w:rFonts w:ascii="Times New Roman" w:hAnsi="Times New Roman" w:cs="Times New Roman"/>
          <w:kern w:val="0"/>
          <w:lang w:val="en-US"/>
        </w:rPr>
        <w:t xml:space="preserve"> 38 (2): 202–18. https://doi.org/10.1093/esr/jcab034.</w:t>
      </w:r>
    </w:p>
    <w:p w14:paraId="6FDA34F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Donnaloja, Victoria, and Maarten Vink. 2023. “Like Parent, like Child: How Attitudes towards Immigrants Spill over to the Political Inclusion of Their Children.”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November, 1–18. https://doi.org/10.1080/1369183X.2023.2282388.</w:t>
      </w:r>
    </w:p>
    <w:p w14:paraId="212FD38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Dražanová, Lenka, Jérôme Gonnot, Tobias Heidland, and Finja Krüger. </w:t>
      </w:r>
      <w:r w:rsidRPr="00656AFF">
        <w:rPr>
          <w:rFonts w:ascii="Times New Roman" w:hAnsi="Times New Roman" w:cs="Times New Roman"/>
          <w:kern w:val="0"/>
          <w:lang w:val="en-US"/>
        </w:rPr>
        <w:t xml:space="preserve">2023. “Which Individual-Level Factors Explain Public Attitudes toward Immigration? </w:t>
      </w:r>
      <w:r w:rsidRPr="00B441AA">
        <w:rPr>
          <w:rFonts w:ascii="Times New Roman" w:hAnsi="Times New Roman" w:cs="Times New Roman"/>
          <w:kern w:val="0"/>
          <w:lang w:val="en-US"/>
        </w:rPr>
        <w:t xml:space="preserve">A Meta-Analysis.”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October, 1–24. https://doi.org/10.1080/1369183X.2023.2265576.</w:t>
      </w:r>
    </w:p>
    <w:p w14:paraId="42D1F6F8"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0BFC72A5"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 xml:space="preserve">Gerdes, Jürgen, and Thomas Faist. 2006. “Von ethnischer zu republikanischer Integration: Der Diskurs um die Reform des deutschen Staatsangehörigkeitsrechts.” </w:t>
      </w:r>
      <w:r w:rsidRPr="00B441AA">
        <w:rPr>
          <w:rFonts w:ascii="Times New Roman" w:hAnsi="Times New Roman" w:cs="Times New Roman"/>
          <w:i/>
          <w:iCs/>
          <w:kern w:val="0"/>
        </w:rPr>
        <w:t>Berliner Journal für Soziologie</w:t>
      </w:r>
      <w:r w:rsidRPr="00B441AA">
        <w:rPr>
          <w:rFonts w:ascii="Times New Roman" w:hAnsi="Times New Roman" w:cs="Times New Roman"/>
          <w:kern w:val="0"/>
        </w:rPr>
        <w:t xml:space="preserve"> 16 (3): 313–35. https://doi.org/10.1007/s11609-006-0029-x.</w:t>
      </w:r>
    </w:p>
    <w:p w14:paraId="6EC6E2A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656AFF">
        <w:rPr>
          <w:rFonts w:ascii="Times New Roman" w:hAnsi="Times New Roman" w:cs="Times New Roman"/>
          <w:kern w:val="0"/>
        </w:rPr>
        <w:t xml:space="preserve">Gerdes, Jürgen, Thomas </w:t>
      </w:r>
      <w:proofErr w:type="spellStart"/>
      <w:r w:rsidRPr="00656AFF">
        <w:rPr>
          <w:rFonts w:ascii="Times New Roman" w:hAnsi="Times New Roman" w:cs="Times New Roman"/>
          <w:kern w:val="0"/>
        </w:rPr>
        <w:t>Faist</w:t>
      </w:r>
      <w:proofErr w:type="spellEnd"/>
      <w:r w:rsidRPr="00656AFF">
        <w:rPr>
          <w:rFonts w:ascii="Times New Roman" w:hAnsi="Times New Roman" w:cs="Times New Roman"/>
          <w:kern w:val="0"/>
        </w:rPr>
        <w:t xml:space="preserve">, and Beate </w:t>
      </w:r>
      <w:proofErr w:type="spellStart"/>
      <w:r w:rsidRPr="00656AFF">
        <w:rPr>
          <w:rFonts w:ascii="Times New Roman" w:hAnsi="Times New Roman" w:cs="Times New Roman"/>
          <w:kern w:val="0"/>
        </w:rPr>
        <w:t>Rieple</w:t>
      </w:r>
      <w:proofErr w:type="spellEnd"/>
      <w:r w:rsidRPr="00656AFF">
        <w:rPr>
          <w:rFonts w:ascii="Times New Roman" w:hAnsi="Times New Roman" w:cs="Times New Roman"/>
          <w:kern w:val="0"/>
        </w:rPr>
        <w:t xml:space="preserve">. </w:t>
      </w:r>
      <w:r w:rsidRPr="00B441AA">
        <w:rPr>
          <w:rFonts w:ascii="Times New Roman" w:hAnsi="Times New Roman" w:cs="Times New Roman"/>
          <w:kern w:val="0"/>
          <w:lang w:val="en-US"/>
        </w:rPr>
        <w:t xml:space="preserve">2007. “‘We Are All “Republican” Now’: The Politics of Dual Citizenship in Germany.” In </w:t>
      </w:r>
      <w:r w:rsidRPr="00B441AA">
        <w:rPr>
          <w:rFonts w:ascii="Times New Roman" w:hAnsi="Times New Roman" w:cs="Times New Roman"/>
          <w:i/>
          <w:iCs/>
          <w:kern w:val="0"/>
          <w:lang w:val="en-US"/>
        </w:rPr>
        <w:t>Dual Citizenship in Europe: From Nationhood to Societal Integration</w:t>
      </w:r>
      <w:r w:rsidRPr="00B441AA">
        <w:rPr>
          <w:rFonts w:ascii="Times New Roman" w:hAnsi="Times New Roman" w:cs="Times New Roman"/>
          <w:kern w:val="0"/>
          <w:lang w:val="en-US"/>
        </w:rPr>
        <w:t>, edited by Thomas Faist, 45–76. Aldershot: Ashgate.</w:t>
      </w:r>
    </w:p>
    <w:p w14:paraId="5EF2222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Goodman, Sara Wallace. 2012. “Fortifying Citizenship: Policy Strategies for Civic Integration in Western Europe.” </w:t>
      </w:r>
      <w:r w:rsidRPr="00B441AA">
        <w:rPr>
          <w:rFonts w:ascii="Times New Roman" w:hAnsi="Times New Roman" w:cs="Times New Roman"/>
          <w:i/>
          <w:iCs/>
          <w:kern w:val="0"/>
          <w:lang w:val="en-US"/>
        </w:rPr>
        <w:t>World Politics</w:t>
      </w:r>
      <w:r w:rsidRPr="00B441AA">
        <w:rPr>
          <w:rFonts w:ascii="Times New Roman" w:hAnsi="Times New Roman" w:cs="Times New Roman"/>
          <w:kern w:val="0"/>
          <w:lang w:val="en-US"/>
        </w:rPr>
        <w:t xml:space="preserve"> 64 (4): 659–98. https://doi.org/10.1017/S0043887112000184.</w:t>
      </w:r>
    </w:p>
    <w:p w14:paraId="0A14BA7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Green, Simon. 2000. “Beyond Ethnoculturalism? German Citizenship in the New Millennium.” </w:t>
      </w:r>
      <w:r w:rsidRPr="00B441AA">
        <w:rPr>
          <w:rFonts w:ascii="Times New Roman" w:hAnsi="Times New Roman" w:cs="Times New Roman"/>
          <w:i/>
          <w:iCs/>
          <w:kern w:val="0"/>
          <w:lang w:val="en-US"/>
        </w:rPr>
        <w:t>German Politics</w:t>
      </w:r>
      <w:r w:rsidRPr="00B441AA">
        <w:rPr>
          <w:rFonts w:ascii="Times New Roman" w:hAnsi="Times New Roman" w:cs="Times New Roman"/>
          <w:kern w:val="0"/>
          <w:lang w:val="en-US"/>
        </w:rPr>
        <w:t xml:space="preserve"> 9 (3): 105–24. https://doi.org/10.1080/09644000008404609.</w:t>
      </w:r>
    </w:p>
    <w:p w14:paraId="5843071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 2012. “Much Ado about Not-Very-Much? Assessing Ten Years of German Citizenship Reform.”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16 (2): 173–88. https://doi.org/10.1080/13621025.2012.667610.</w:t>
      </w:r>
    </w:p>
    <w:p w14:paraId="1E746B68"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Hainmueller, Jens, Dominik Hangartner, and Teppei Yamamoto. 2015. “Validating Vignette </w:t>
      </w:r>
      <w:r w:rsidRPr="00B441AA">
        <w:rPr>
          <w:rFonts w:ascii="Times New Roman" w:hAnsi="Times New Roman" w:cs="Times New Roman"/>
          <w:kern w:val="0"/>
          <w:lang w:val="en-US"/>
        </w:rPr>
        <w:lastRenderedPageBreak/>
        <w:t xml:space="preserve">and Conjoint Survey Experiments against Real-World Behavior.” </w:t>
      </w:r>
      <w:r w:rsidRPr="00B441AA">
        <w:rPr>
          <w:rFonts w:ascii="Times New Roman" w:hAnsi="Times New Roman" w:cs="Times New Roman"/>
          <w:i/>
          <w:iCs/>
          <w:kern w:val="0"/>
          <w:lang w:val="en-US"/>
        </w:rPr>
        <w:t>Proceedings of the National Academy of Sciences</w:t>
      </w:r>
      <w:r w:rsidRPr="00B441AA">
        <w:rPr>
          <w:rFonts w:ascii="Times New Roman" w:hAnsi="Times New Roman" w:cs="Times New Roman"/>
          <w:kern w:val="0"/>
          <w:lang w:val="en-US"/>
        </w:rPr>
        <w:t xml:space="preserve"> 112 (8): 2395–2400. https://doi.org/10.1073/pnas.1416587112.</w:t>
      </w:r>
    </w:p>
    <w:p w14:paraId="73492B0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Harell, Allison, Stuart Soroka, Shanto Iyengar, and Nicholas Valentino. 2012. “The Impact of Economic and Cultural Cues on Support for Immigration in Canada and the United States.” </w:t>
      </w:r>
      <w:r w:rsidRPr="00B441AA">
        <w:rPr>
          <w:rFonts w:ascii="Times New Roman" w:hAnsi="Times New Roman" w:cs="Times New Roman"/>
          <w:i/>
          <w:iCs/>
          <w:kern w:val="0"/>
          <w:lang w:val="en-US"/>
        </w:rPr>
        <w:t>Canadian Journal of Political Science</w:t>
      </w:r>
      <w:r w:rsidRPr="00B441AA">
        <w:rPr>
          <w:rFonts w:ascii="Times New Roman" w:hAnsi="Times New Roman" w:cs="Times New Roman"/>
          <w:kern w:val="0"/>
          <w:lang w:val="en-US"/>
        </w:rPr>
        <w:t xml:space="preserve"> 45 (3): 499–530. https://doi.org/10.1017/S0008423912000698.</w:t>
      </w:r>
    </w:p>
    <w:p w14:paraId="590498D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Hartnell, Helen Elizabeth. 2006. “Belonging: Citizenship and Migration in the European Union and in Germany.” </w:t>
      </w:r>
      <w:r w:rsidRPr="00B441AA">
        <w:rPr>
          <w:rFonts w:ascii="Times New Roman" w:hAnsi="Times New Roman" w:cs="Times New Roman"/>
          <w:i/>
          <w:iCs/>
          <w:kern w:val="0"/>
          <w:lang w:val="en-US"/>
        </w:rPr>
        <w:t>Issues in Legal Scholarship</w:t>
      </w:r>
      <w:r w:rsidRPr="00B441AA">
        <w:rPr>
          <w:rFonts w:ascii="Times New Roman" w:hAnsi="Times New Roman" w:cs="Times New Roman"/>
          <w:kern w:val="0"/>
          <w:lang w:val="en-US"/>
        </w:rPr>
        <w:t xml:space="preserve"> 6 (2). https://doi.org/10.2202/1539-8323.1087.</w:t>
      </w:r>
    </w:p>
    <w:p w14:paraId="206930BA"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Helbling, Marc, Felix Jäger, Rahsaan Maxwell, and Richard Traunmüller. 2023. “Broad and Detailed Agreement: Public Preferences for German Immigration Policy.” </w:t>
      </w:r>
      <w:r w:rsidRPr="00B441AA">
        <w:rPr>
          <w:rFonts w:ascii="Times New Roman" w:hAnsi="Times New Roman" w:cs="Times New Roman"/>
          <w:i/>
          <w:iCs/>
          <w:kern w:val="0"/>
          <w:lang w:val="en-US"/>
        </w:rPr>
        <w:t>International Migration Review</w:t>
      </w:r>
      <w:r w:rsidRPr="00B441AA">
        <w:rPr>
          <w:rFonts w:ascii="Times New Roman" w:hAnsi="Times New Roman" w:cs="Times New Roman"/>
          <w:kern w:val="0"/>
          <w:lang w:val="en-US"/>
        </w:rPr>
        <w:t>, December, 01979183231216076. https://doi.org/10.1177/01979183231216076.</w:t>
      </w:r>
    </w:p>
    <w:p w14:paraId="7E7F0C4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B441AA">
        <w:rPr>
          <w:rFonts w:ascii="Times New Roman" w:hAnsi="Times New Roman" w:cs="Times New Roman"/>
          <w:i/>
          <w:iCs/>
          <w:kern w:val="0"/>
          <w:lang w:val="en-US"/>
        </w:rPr>
        <w:t>Social Science Japan Journal</w:t>
      </w:r>
      <w:r w:rsidRPr="00B441AA">
        <w:rPr>
          <w:rFonts w:ascii="Times New Roman" w:hAnsi="Times New Roman" w:cs="Times New Roman"/>
          <w:kern w:val="0"/>
          <w:lang w:val="en-US"/>
        </w:rPr>
        <w:t xml:space="preserve"> 18 (1): 3–22. https://doi.org/10.1093/ssjj/jyu035.</w:t>
      </w:r>
    </w:p>
    <w:p w14:paraId="6B06451F"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Levanon, Asaf, and Noah Lewin-Epstein. 2010. “Grounds for Citizenship: Public Attitudes in Comparative Perspective.” </w:t>
      </w:r>
      <w:r w:rsidRPr="00B441AA">
        <w:rPr>
          <w:rFonts w:ascii="Times New Roman" w:hAnsi="Times New Roman" w:cs="Times New Roman"/>
          <w:i/>
          <w:iCs/>
          <w:kern w:val="0"/>
          <w:lang w:val="en-US"/>
        </w:rPr>
        <w:t>Social Science Research</w:t>
      </w:r>
      <w:r w:rsidRPr="00B441AA">
        <w:rPr>
          <w:rFonts w:ascii="Times New Roman" w:hAnsi="Times New Roman" w:cs="Times New Roman"/>
          <w:kern w:val="0"/>
          <w:lang w:val="en-US"/>
        </w:rPr>
        <w:t xml:space="preserve"> 39 (3): 419–31. https://doi.org/10.1016/j.ssresearch.2009.12.001.</w:t>
      </w:r>
    </w:p>
    <w:p w14:paraId="6A96ADEC"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lang w:val="en-US"/>
        </w:rPr>
        <w:t xml:space="preserve">Luke, Douglas A. 2020. </w:t>
      </w:r>
      <w:r w:rsidRPr="00B441AA">
        <w:rPr>
          <w:rFonts w:ascii="Times New Roman" w:hAnsi="Times New Roman" w:cs="Times New Roman"/>
          <w:i/>
          <w:iCs/>
          <w:kern w:val="0"/>
          <w:lang w:val="en-US"/>
        </w:rPr>
        <w:t>Multilevel Modeling</w:t>
      </w:r>
      <w:r w:rsidRPr="00B441AA">
        <w:rPr>
          <w:rFonts w:ascii="Times New Roman" w:hAnsi="Times New Roman" w:cs="Times New Roman"/>
          <w:kern w:val="0"/>
          <w:lang w:val="en-US"/>
        </w:rPr>
        <w:t xml:space="preserve">. Vol. 143. Quantitative Applications in the Social Sciences. </w:t>
      </w:r>
      <w:r w:rsidRPr="00B441AA">
        <w:rPr>
          <w:rFonts w:ascii="Times New Roman" w:hAnsi="Times New Roman" w:cs="Times New Roman"/>
          <w:kern w:val="0"/>
        </w:rPr>
        <w:t>Los Angeles: SAGE.</w:t>
      </w:r>
    </w:p>
    <w:p w14:paraId="319B13B9"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rPr>
        <w:t xml:space="preserve">Mau, Steffen, Fabian Gülzau, Lena Laube, and Natascha Zaun. 2015. </w:t>
      </w:r>
      <w:r w:rsidRPr="00B441AA">
        <w:rPr>
          <w:rFonts w:ascii="Times New Roman" w:hAnsi="Times New Roman" w:cs="Times New Roman"/>
          <w:kern w:val="0"/>
          <w:lang w:val="en-US"/>
        </w:rPr>
        <w:t xml:space="preserve">“The Global Mobility Divide: How Visa Policies Have Evolved over Time.”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41 (8): 1192–1213. https://doi.org/10.1080/1369183X.2015.1005007.</w:t>
      </w:r>
    </w:p>
    <w:p w14:paraId="255063A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Miller-Idriss, Cynthia. 2006. “Everyday Understandings of Citizenship in Germany.”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10 (5): 541–70. https://doi.org/10.1080/13621020600954978.</w:t>
      </w:r>
    </w:p>
    <w:p w14:paraId="180B76B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Orgad, Liav. 2017. “Naturalization.” In </w:t>
      </w:r>
      <w:r w:rsidRPr="00B441AA">
        <w:rPr>
          <w:rFonts w:ascii="Times New Roman" w:hAnsi="Times New Roman" w:cs="Times New Roman"/>
          <w:i/>
          <w:iCs/>
          <w:kern w:val="0"/>
          <w:lang w:val="en-US"/>
        </w:rPr>
        <w:t>The Oxford Handbook of Citizenship</w:t>
      </w:r>
      <w:r w:rsidRPr="00B441AA">
        <w:rPr>
          <w:rFonts w:ascii="Times New Roman" w:hAnsi="Times New Roman" w:cs="Times New Roman"/>
          <w:kern w:val="0"/>
          <w:lang w:val="en-US"/>
        </w:rPr>
        <w:t>, edited by Ayelet Shachar, Rainer Bauböck, Irene Bloemraad, and Maarten Vink, 337–57. Oxford: Oxford University Press. https://doi.org/10.1093/oxfordhb/9780198805854.013.15.</w:t>
      </w:r>
    </w:p>
    <w:p w14:paraId="0AD58EFE"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Palmowski, Jan. 2008. “In Search of the German Nation: Citizenship and the Challenge of Integration.”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12 (6): 547–63. https://doi.org/10.1080/13621020802450635.</w:t>
      </w:r>
    </w:p>
    <w:p w14:paraId="3DDB513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Petzold, Knut, and Tobias Wolbring. 2019. “What Can We Learn From Factorial Surveys About Human Behavior?: A Validation Study Comparing Field and Survey Experiments on Discrimination.” </w:t>
      </w:r>
      <w:r w:rsidRPr="00B441AA">
        <w:rPr>
          <w:rFonts w:ascii="Times New Roman" w:hAnsi="Times New Roman" w:cs="Times New Roman"/>
          <w:i/>
          <w:iCs/>
          <w:kern w:val="0"/>
          <w:lang w:val="en-US"/>
        </w:rPr>
        <w:t>Methodology</w:t>
      </w:r>
      <w:r w:rsidRPr="00B441AA">
        <w:rPr>
          <w:rFonts w:ascii="Times New Roman" w:hAnsi="Times New Roman" w:cs="Times New Roman"/>
          <w:kern w:val="0"/>
          <w:lang w:val="en-US"/>
        </w:rPr>
        <w:t xml:space="preserve"> 15 (1): 19–30. https://doi.org/10.1027/1614-2241/a000161.</w:t>
      </w:r>
    </w:p>
    <w:p w14:paraId="21C73B2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R Core Team. 2023. “R: A Language and Environment for Statistical Computing.” R. Vienna, Austria: R Foundation for Statistical Computing. https://www.R-project.org/.</w:t>
      </w:r>
    </w:p>
    <w:p w14:paraId="73359D16"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Reeskens, Tim, and Marc Hooghe. 2010. “Beyond the Civic-Ethnic Dichotomy: Investigating the Structure of Citizenship Concepts across Thirty-Three Countries: Beyond the Civic-Ethnic Dichotomy.” </w:t>
      </w:r>
      <w:r w:rsidRPr="00B441AA">
        <w:rPr>
          <w:rFonts w:ascii="Times New Roman" w:hAnsi="Times New Roman" w:cs="Times New Roman"/>
          <w:i/>
          <w:iCs/>
          <w:kern w:val="0"/>
          <w:lang w:val="en-US"/>
        </w:rPr>
        <w:t>Nations and Nationalism</w:t>
      </w:r>
      <w:r w:rsidRPr="00B441AA">
        <w:rPr>
          <w:rFonts w:ascii="Times New Roman" w:hAnsi="Times New Roman" w:cs="Times New Roman"/>
          <w:kern w:val="0"/>
          <w:lang w:val="en-US"/>
        </w:rPr>
        <w:t xml:space="preserve"> 16 (4): 579–97. https://doi.org/10.1111/j.1469-8129.2010.00446.x.</w:t>
      </w:r>
    </w:p>
    <w:p w14:paraId="6AD8453C"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656AFF">
        <w:rPr>
          <w:rFonts w:ascii="Times New Roman" w:hAnsi="Times New Roman" w:cs="Times New Roman"/>
          <w:kern w:val="0"/>
          <w:lang w:val="en-US"/>
        </w:rPr>
        <w:t>Reijerse</w:t>
      </w:r>
      <w:proofErr w:type="spellEnd"/>
      <w:r w:rsidRPr="00656AFF">
        <w:rPr>
          <w:rFonts w:ascii="Times New Roman" w:hAnsi="Times New Roman" w:cs="Times New Roman"/>
          <w:kern w:val="0"/>
          <w:lang w:val="en-US"/>
        </w:rPr>
        <w:t xml:space="preserve">, Arjan, </w:t>
      </w:r>
      <w:proofErr w:type="spellStart"/>
      <w:r w:rsidRPr="00656AFF">
        <w:rPr>
          <w:rFonts w:ascii="Times New Roman" w:hAnsi="Times New Roman" w:cs="Times New Roman"/>
          <w:kern w:val="0"/>
          <w:lang w:val="en-US"/>
        </w:rPr>
        <w:t>Kaat</w:t>
      </w:r>
      <w:proofErr w:type="spellEnd"/>
      <w:r w:rsidRPr="00656AFF">
        <w:rPr>
          <w:rFonts w:ascii="Times New Roman" w:hAnsi="Times New Roman" w:cs="Times New Roman"/>
          <w:kern w:val="0"/>
          <w:lang w:val="en-US"/>
        </w:rPr>
        <w:t xml:space="preserve"> Van Acker, Norbert </w:t>
      </w:r>
      <w:proofErr w:type="spellStart"/>
      <w:r w:rsidRPr="00656AFF">
        <w:rPr>
          <w:rFonts w:ascii="Times New Roman" w:hAnsi="Times New Roman" w:cs="Times New Roman"/>
          <w:kern w:val="0"/>
          <w:lang w:val="en-US"/>
        </w:rPr>
        <w:t>Vanbeselaere</w:t>
      </w:r>
      <w:proofErr w:type="spellEnd"/>
      <w:r w:rsidRPr="00656AFF">
        <w:rPr>
          <w:rFonts w:ascii="Times New Roman" w:hAnsi="Times New Roman" w:cs="Times New Roman"/>
          <w:kern w:val="0"/>
          <w:lang w:val="en-US"/>
        </w:rPr>
        <w:t xml:space="preserve">, Karen </w:t>
      </w:r>
      <w:proofErr w:type="spellStart"/>
      <w:r w:rsidRPr="00656AFF">
        <w:rPr>
          <w:rFonts w:ascii="Times New Roman" w:hAnsi="Times New Roman" w:cs="Times New Roman"/>
          <w:kern w:val="0"/>
          <w:lang w:val="en-US"/>
        </w:rPr>
        <w:t>Phalet</w:t>
      </w:r>
      <w:proofErr w:type="spellEnd"/>
      <w:r w:rsidRPr="00656AFF">
        <w:rPr>
          <w:rFonts w:ascii="Times New Roman" w:hAnsi="Times New Roman" w:cs="Times New Roman"/>
          <w:kern w:val="0"/>
          <w:lang w:val="en-US"/>
        </w:rPr>
        <w:t xml:space="preserve">, and Bart </w:t>
      </w:r>
      <w:proofErr w:type="spellStart"/>
      <w:r w:rsidRPr="00656AFF">
        <w:rPr>
          <w:rFonts w:ascii="Times New Roman" w:hAnsi="Times New Roman" w:cs="Times New Roman"/>
          <w:kern w:val="0"/>
          <w:lang w:val="en-US"/>
        </w:rPr>
        <w:t>Duriez</w:t>
      </w:r>
      <w:proofErr w:type="spellEnd"/>
      <w:r w:rsidRPr="00656AFF">
        <w:rPr>
          <w:rFonts w:ascii="Times New Roman" w:hAnsi="Times New Roman" w:cs="Times New Roman"/>
          <w:kern w:val="0"/>
          <w:lang w:val="en-US"/>
        </w:rPr>
        <w:t xml:space="preserve">. </w:t>
      </w:r>
      <w:r w:rsidRPr="00B441AA">
        <w:rPr>
          <w:rFonts w:ascii="Times New Roman" w:hAnsi="Times New Roman" w:cs="Times New Roman"/>
          <w:kern w:val="0"/>
          <w:lang w:val="en-US"/>
        </w:rPr>
        <w:t xml:space="preserve">2013. “Beyond the Ethnic‐Civic Dichotomy: Cultural Citizenship as a New Way of Excluding Immigrants.” </w:t>
      </w:r>
      <w:r w:rsidRPr="00B441AA">
        <w:rPr>
          <w:rFonts w:ascii="Times New Roman" w:hAnsi="Times New Roman" w:cs="Times New Roman"/>
          <w:i/>
          <w:iCs/>
          <w:kern w:val="0"/>
          <w:lang w:val="en-US"/>
        </w:rPr>
        <w:t>Political Psychology</w:t>
      </w:r>
      <w:r w:rsidRPr="00B441AA">
        <w:rPr>
          <w:rFonts w:ascii="Times New Roman" w:hAnsi="Times New Roman" w:cs="Times New Roman"/>
          <w:kern w:val="0"/>
          <w:lang w:val="en-US"/>
        </w:rPr>
        <w:t xml:space="preserve"> 34 (4): 611–30. https://doi.org/10.1111/j.1467-9221.2012.00920.x.</w:t>
      </w:r>
    </w:p>
    <w:p w14:paraId="05E4EC63"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Schmid, Samuel D. 2022. “Upgrading German Citizenship.” </w:t>
      </w:r>
      <w:r w:rsidRPr="00B441AA">
        <w:rPr>
          <w:rFonts w:ascii="Times New Roman" w:hAnsi="Times New Roman" w:cs="Times New Roman"/>
          <w:i/>
          <w:iCs/>
          <w:kern w:val="0"/>
          <w:lang w:val="en-US"/>
        </w:rPr>
        <w:t>Verfassungsblog: On Matters Constitutional</w:t>
      </w:r>
      <w:r w:rsidRPr="00B441AA">
        <w:rPr>
          <w:rFonts w:ascii="Times New Roman" w:hAnsi="Times New Roman" w:cs="Times New Roman"/>
          <w:kern w:val="0"/>
          <w:lang w:val="en-US"/>
        </w:rPr>
        <w:t>, December. https://doi.org/10.17176/20221207-001541-0.</w:t>
      </w:r>
    </w:p>
    <w:p w14:paraId="3A4D407F"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40B01A4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lastRenderedPageBreak/>
        <w:t xml:space="preserve">Vink, Maarten. 2017. “Comparing Citizenship Regimes.” In </w:t>
      </w:r>
      <w:r w:rsidRPr="00B441AA">
        <w:rPr>
          <w:rFonts w:ascii="Times New Roman" w:hAnsi="Times New Roman" w:cs="Times New Roman"/>
          <w:i/>
          <w:iCs/>
          <w:kern w:val="0"/>
          <w:lang w:val="en-US"/>
        </w:rPr>
        <w:t>The Oxford Handbook of Citizenship</w:t>
      </w:r>
      <w:r w:rsidRPr="00B441AA">
        <w:rPr>
          <w:rFonts w:ascii="Times New Roman" w:hAnsi="Times New Roman" w:cs="Times New Roman"/>
          <w:kern w:val="0"/>
          <w:lang w:val="en-US"/>
        </w:rPr>
        <w:t>, edited by Ayelet Shachar, Rainer Bauböck, Irene Bloemraad, and Maarten Vink, 221–44. Oxford, United Kingdom: Oxford University Press. https://doi.org/10.1093/oxfordhb/9780198805854.013.10.</w:t>
      </w:r>
    </w:p>
    <w:p w14:paraId="3EEC32D0"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Vink, Maarten, Van der Baaren, Luuk, Bauböck, Rainer, Džankić, Jelena, Honohan, Iseult, and Manby, Bronwen. 2023. “GLOBALCIT Citizenship Law Dataset.” https://hdl.handle.net/1814/73190.</w:t>
      </w:r>
    </w:p>
    <w:p w14:paraId="0666316E"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Weinmann, Martin. 2022. “Barriers to Naturalization: How Dual Citizenship Restrictions Impede Full Membership.” </w:t>
      </w:r>
      <w:r w:rsidRPr="00B441AA">
        <w:rPr>
          <w:rFonts w:ascii="Times New Roman" w:hAnsi="Times New Roman" w:cs="Times New Roman"/>
          <w:i/>
          <w:iCs/>
          <w:kern w:val="0"/>
          <w:lang w:val="en-US"/>
        </w:rPr>
        <w:t>International Migration</w:t>
      </w:r>
      <w:r w:rsidRPr="00B441AA">
        <w:rPr>
          <w:rFonts w:ascii="Times New Roman" w:hAnsi="Times New Roman" w:cs="Times New Roman"/>
          <w:kern w:val="0"/>
          <w:lang w:val="en-US"/>
        </w:rPr>
        <w:t xml:space="preserve"> 60 (5): 237–51. https://doi.org/10.1111/imig.12950.</w:t>
      </w:r>
    </w:p>
    <w:p w14:paraId="1982F09A"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Wheeler, Bob. 2022. “AlgDesign: Algorithmic Experimental Design.” R package. https://cran.r-project.org/web/packages/AlgDesign/.</w:t>
      </w:r>
    </w:p>
    <w:p w14:paraId="4F54FACB"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B441AA">
        <w:rPr>
          <w:rFonts w:ascii="Times New Roman" w:hAnsi="Times New Roman" w:cs="Times New Roman"/>
          <w:i/>
          <w:iCs/>
          <w:kern w:val="0"/>
        </w:rPr>
        <w:t>Informationsdienst Soziale Indikatoren</w:t>
      </w:r>
      <w:r w:rsidRPr="00B441AA">
        <w:rPr>
          <w:rFonts w:ascii="Times New Roman" w:hAnsi="Times New Roman" w:cs="Times New Roman"/>
          <w:kern w:val="0"/>
        </w:rPr>
        <w:t xml:space="preserve"> 42. https://doi.org/10.15464/ISI.42.2009.11-14.</w:t>
      </w:r>
    </w:p>
    <w:p w14:paraId="467A9210" w14:textId="061CF6A7"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Gülzau | SVR" w:date="2024-01-15T12:50:00Z" w:initials="FG|S">
    <w:p w14:paraId="3CD4E49A" w14:textId="1596198C" w:rsidR="003424D8" w:rsidRDefault="003424D8" w:rsidP="003424D8">
      <w:r>
        <w:rPr>
          <w:rStyle w:val="Kommentarzeichen"/>
        </w:rPr>
        <w:annotationRef/>
      </w:r>
      <w:r>
        <w:rPr>
          <w:sz w:val="20"/>
          <w:szCs w:val="20"/>
        </w:rPr>
        <w:t xml:space="preserve">Add that respondents were informed about data use and provided informed consent. </w:t>
      </w:r>
    </w:p>
  </w:comment>
  <w:comment w:id="1" w:author="Fabian Gülzau | SVR" w:date="2024-01-16T16:07:00Z" w:initials="FG|S">
    <w:p w14:paraId="3AD9E484" w14:textId="77777777" w:rsidR="003D7992" w:rsidRDefault="003D7992" w:rsidP="003D7992">
      <w:r>
        <w:rPr>
          <w:rStyle w:val="Kommentarzeichen"/>
        </w:rPr>
        <w:annotationRef/>
      </w:r>
      <w:r>
        <w:rPr>
          <w:sz w:val="20"/>
          <w:szCs w:val="20"/>
        </w:rPr>
        <w:t>Explain that India is not displayed for visual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D4E49A" w15:done="0"/>
  <w15:commentEx w15:paraId="3AD9E4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5E82F73" w16cex:dateUtc="2024-01-15T11:50:00Z"/>
  <w16cex:commentExtensible w16cex:durableId="18B6576F" w16cex:dateUtc="2024-01-16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D4E49A" w16cid:durableId="35E82F73"/>
  <w16cid:commentId w16cid:paraId="3AD9E484" w16cid:durableId="18B657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85BB3" w14:textId="77777777" w:rsidR="00F417AE" w:rsidRDefault="00F417AE" w:rsidP="00313A38">
      <w:r>
        <w:separator/>
      </w:r>
    </w:p>
  </w:endnote>
  <w:endnote w:type="continuationSeparator" w:id="0">
    <w:p w14:paraId="6220D8E3" w14:textId="77777777" w:rsidR="00F417AE" w:rsidRDefault="00F417AE"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C840F" w14:textId="77777777" w:rsidR="00F417AE" w:rsidRDefault="00F417AE" w:rsidP="00313A38">
      <w:r>
        <w:separator/>
      </w:r>
    </w:p>
  </w:footnote>
  <w:footnote w:type="continuationSeparator" w:id="0">
    <w:p w14:paraId="744F8046" w14:textId="77777777" w:rsidR="00F417AE" w:rsidRDefault="00F417AE" w:rsidP="00313A38">
      <w:r>
        <w:continuationSeparator/>
      </w:r>
    </w:p>
  </w:footnote>
  <w:footnote w:id="1">
    <w:p w14:paraId="04F41AAE" w14:textId="05C74945" w:rsidR="007E4DBF" w:rsidRPr="007E4DBF" w:rsidRDefault="007E4DBF" w:rsidP="007E4DBF">
      <w:pPr>
        <w:pStyle w:val="Funotentext"/>
        <w:jc w:val="both"/>
        <w:rPr>
          <w:rFonts w:ascii="Garamond" w:hAnsi="Garamond"/>
          <w:lang w:val="en-US"/>
        </w:rPr>
      </w:pPr>
      <w:r>
        <w:rPr>
          <w:rStyle w:val="Funotenzeichen"/>
        </w:rPr>
        <w:footnoteRef/>
      </w:r>
      <w:r w:rsidRPr="007E4DBF">
        <w:rPr>
          <w:lang w:val="en-US"/>
        </w:rPr>
        <w:t xml:space="preserve"> </w:t>
      </w:r>
      <w:r>
        <w:rPr>
          <w:rFonts w:ascii="Garamond" w:hAnsi="Garamond"/>
          <w:lang w:val="en-US"/>
        </w:rPr>
        <w:t xml:space="preserve">As of the year 2000, 48.4 percent of countries enforced a renunciation requirement for naturalization. Nevertheless, the percentage consistently declined, and in 2022, only 35.7 percent of countries globally maintain such a mandate </w:t>
      </w:r>
      <w:r>
        <w:rPr>
          <w:rFonts w:ascii="Garamond" w:hAnsi="Garamond"/>
          <w:lang w:val="en-US"/>
        </w:rPr>
        <w:fldChar w:fldCharType="begin"/>
      </w:r>
      <w:r>
        <w:rPr>
          <w:rFonts w:ascii="Garamond" w:hAnsi="Garamond"/>
          <w:lang w:val="en-US"/>
        </w:rPr>
        <w:instrText xml:space="preserve"> ADDIN ZOTERO_ITEM CSL_CITATION {"citationID":"b1ZtKfzs","properties":{"formattedCitation":"(calculated based on Vink et al. 2023)","plainCitation":"(calculated based on Vink et al. 2023)","noteIndex":1},"citationItems":[{"id":1892,"uris":["http://zotero.org/users/1000541/items/G926USB7"],"itemData":{"id":1892,"type":"dataset","number":"https://hdl.handle.net/1814/73190","title":"GLOBALCIT Citizenship Law Dataset","URL":"https://hdl.handle.net/1814/73190","version":"v2.0","author":[{"family":"Vink","given":"Maarten"},{"literal":"Van der Baaren, Luuk"},{"literal":"Bauböck, Rainer"},{"literal":"Džankić, Jelena"},{"literal":"Honohan, Iseult"},{"literal":"Manby, Bronwen"}],"issued":{"date-parts":[["2023"]]},"citation-key":"vink2023"},"label":"page","prefix":"calculated based on "}],"schema":"https://github.com/citation-style-language/schema/raw/master/csl-citation.json"} </w:instrText>
      </w:r>
      <w:r>
        <w:rPr>
          <w:rFonts w:ascii="Garamond" w:hAnsi="Garamond"/>
          <w:lang w:val="en-US"/>
        </w:rPr>
        <w:fldChar w:fldCharType="separate"/>
      </w:r>
      <w:r>
        <w:rPr>
          <w:rFonts w:ascii="Garamond" w:hAnsi="Garamond"/>
          <w:noProof/>
          <w:lang w:val="en-US"/>
        </w:rPr>
        <w:t>(calculated based on Vink et al. 2023)</w:t>
      </w:r>
      <w:r>
        <w:rPr>
          <w:rFonts w:ascii="Garamond" w:hAnsi="Garamond"/>
          <w:lang w:val="en-US"/>
        </w:rPr>
        <w:fldChar w:fldCharType="end"/>
      </w:r>
      <w:r>
        <w:rPr>
          <w:rFonts w:ascii="Garamond" w:hAnsi="Garamond"/>
          <w:lang w:val="en-US"/>
        </w:rPr>
        <w:t xml:space="preserve">. Notably, Germany is one of the nations where naturalization applicants are still required to renounce their previous citizenship, with certain exceptions for </w:t>
      </w:r>
      <w:r w:rsidR="003D11A1">
        <w:rPr>
          <w:rFonts w:ascii="Garamond" w:hAnsi="Garamond"/>
          <w:lang w:val="en-US"/>
        </w:rPr>
        <w:t xml:space="preserve">EU and Swiss nationals, recognized refugees, elderly, </w:t>
      </w:r>
      <w:r>
        <w:rPr>
          <w:rFonts w:ascii="Garamond" w:hAnsi="Garamond"/>
          <w:lang w:val="en-US"/>
        </w:rPr>
        <w:t xml:space="preserve">and individuals from countries where renunciation is impractical. </w:t>
      </w:r>
    </w:p>
  </w:footnote>
  <w:footnote w:id="2">
    <w:p w14:paraId="3D05A839" w14:textId="27A78A8C"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w:t>
      </w:r>
      <w:r w:rsidRPr="00A57375">
        <w:rPr>
          <w:rFonts w:ascii="Garamond" w:hAnsi="Garamond"/>
          <w:i/>
          <w:iCs/>
          <w:lang w:val="en-US"/>
        </w:rPr>
        <w:t>Reichs- und Staatsangehörigkeitsgesetz</w:t>
      </w:r>
      <w:r w:rsidRPr="00C03476">
        <w:rPr>
          <w:rFonts w:ascii="Garamond" w:hAnsi="Garamond"/>
          <w:lang w:val="en-US"/>
        </w:rPr>
        <w:t xml:space="preserve"> (RuStAG), which </w:t>
      </w:r>
      <w:r>
        <w:rPr>
          <w:rFonts w:ascii="Garamond" w:hAnsi="Garamond"/>
          <w:lang w:val="en-US"/>
        </w:rPr>
        <w:t xml:space="preserve">was </w:t>
      </w:r>
      <w:r w:rsidRPr="00C03476">
        <w:rPr>
          <w:rFonts w:ascii="Garamond" w:hAnsi="Garamond"/>
          <w:lang w:val="en-US"/>
        </w:rPr>
        <w:t xml:space="preserve">regulating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3">
    <w:p w14:paraId="12F31AF5" w14:textId="4C847297" w:rsidR="00D2061F" w:rsidRPr="00D2061F" w:rsidRDefault="00D2061F">
      <w:pPr>
        <w:pStyle w:val="Funotentext"/>
        <w:rPr>
          <w:lang w:val="en-US"/>
        </w:rPr>
      </w:pPr>
      <w:r>
        <w:rPr>
          <w:rStyle w:val="Funotenzeichen"/>
        </w:rPr>
        <w:footnoteRef/>
      </w:r>
      <w:r w:rsidRPr="00D2061F">
        <w:rPr>
          <w:lang w:val="en-US"/>
        </w:rPr>
        <w:t xml:space="preserve"> </w:t>
      </w:r>
      <w:r>
        <w:rPr>
          <w:rFonts w:ascii="Garamond" w:hAnsi="Garamond"/>
          <w:lang w:val="en-US"/>
        </w:rPr>
        <w:t>The opposition to dual citizenship has historical roots</w:t>
      </w:r>
      <w:r w:rsidRPr="003D7992">
        <w:rPr>
          <w:rFonts w:ascii="Garamond" w:hAnsi="Garamond"/>
          <w:lang w:val="en-US"/>
        </w:rPr>
        <w:t xml:space="preserve">, reinforced by a 1974 ruling from the German constitutional court categorizing dual citizenship as an </w:t>
      </w:r>
      <w:r>
        <w:rPr>
          <w:rFonts w:ascii="Garamond" w:hAnsi="Garamond"/>
          <w:lang w:val="en-US"/>
        </w:rPr>
        <w:t>“</w:t>
      </w:r>
      <w:r w:rsidRPr="003D7992">
        <w:rPr>
          <w:rFonts w:ascii="Garamond" w:hAnsi="Garamond"/>
          <w:lang w:val="en-US"/>
        </w:rPr>
        <w:t>evil</w:t>
      </w:r>
      <w:r>
        <w:rPr>
          <w:rFonts w:ascii="Garamond" w:hAnsi="Garamond"/>
          <w:lang w:val="en-US"/>
        </w:rPr>
        <w:t>”</w:t>
      </w:r>
      <w:r w:rsidRPr="003D7992">
        <w:rPr>
          <w:rFonts w:ascii="Garamond" w:hAnsi="Garamond"/>
          <w:lang w:val="en-US"/>
        </w:rPr>
        <w:t xml:space="preserve"> to be avoided, a principle entrenched in political rhetoric since</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{"citationID":"r2v5MDzg","properties":{"formattedCitation":"(Gerdes, Faist, and Rieple 2007: 50)","plainCitation":"(Gerdes, Faist, and Rieple 2007: 50)","noteIndex":3},"citationItems":[{"id":1751,"uris":["http://zotero.org/users/1000541/items/MB3LXLKQ"],"itemData":{"id":1751,"type":"chapter","container-title":"Dual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50"}],"schema":"https://github.com/citation-style-language/schema/raw/master/csl-citation.json"} </w:instrText>
      </w:r>
      <w:r>
        <w:rPr>
          <w:rFonts w:ascii="Garamond" w:hAnsi="Garamond"/>
          <w:lang w:val="en-US"/>
        </w:rPr>
        <w:fldChar w:fldCharType="separate"/>
      </w:r>
      <w:r>
        <w:rPr>
          <w:rFonts w:ascii="Garamond" w:hAnsi="Garamond"/>
          <w:noProof/>
          <w:lang w:val="en-US"/>
        </w:rPr>
        <w:t>(Gerdes, Faist, and Rieple 2007: 50)</w:t>
      </w:r>
      <w:r>
        <w:rPr>
          <w:rFonts w:ascii="Garamond" w:hAnsi="Garamond"/>
          <w:lang w:val="en-US"/>
        </w:rPr>
        <w:fldChar w:fldCharType="end"/>
      </w:r>
      <w:r w:rsidRPr="003D7992">
        <w:rPr>
          <w:rFonts w:ascii="Garamond" w:hAnsi="Garamond"/>
          <w:lang w:val="en-US"/>
        </w:rPr>
        <w:t>.</w:t>
      </w:r>
      <w:r>
        <w:rPr>
          <w:rFonts w:ascii="Garamond" w:hAnsi="Garamond"/>
          <w:lang w:val="en-US"/>
        </w:rPr>
        <w:t xml:space="preserve"> </w:t>
      </w:r>
    </w:p>
  </w:footnote>
  <w:footnote w:id="4">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5">
    <w:p w14:paraId="1024C837" w14:textId="41784B9D"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sidR="003D11A1">
        <w:rPr>
          <w:rFonts w:ascii="Garamond" w:hAnsi="Garamond"/>
          <w:lang w:val="en-US"/>
        </w:rPr>
        <w:t>EU and Swiss nationals, recognized refugees, elderly, and individuals from countries where renunciation is impractical.</w:t>
      </w:r>
      <w:r>
        <w:rPr>
          <w:rFonts w:ascii="Garamond" w:hAnsi="Garamond"/>
          <w:lang w:val="en-US"/>
        </w:rPr>
        <w:t xml:space="preserve">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6">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7">
    <w:p w14:paraId="671CAB59" w14:textId="55666C74"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r w:rsidRPr="00AB4A25">
        <w:rPr>
          <w:rFonts w:ascii="Garamond" w:hAnsi="Garamond"/>
          <w:lang w:val="en-US"/>
        </w:rPr>
        <w:t>AlgDesign</w:t>
      </w:r>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8">
    <w:p w14:paraId="24FA3DE3" w14:textId="0C877ED7"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Auspurg an Hinz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ülzau | SVR">
    <w15:presenceInfo w15:providerId="Windows Live" w15:userId="acaf05353fd7b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15DC6"/>
    <w:rsid w:val="00025FB1"/>
    <w:rsid w:val="000345FE"/>
    <w:rsid w:val="00034B35"/>
    <w:rsid w:val="00035B23"/>
    <w:rsid w:val="000363C3"/>
    <w:rsid w:val="00042B91"/>
    <w:rsid w:val="00053DF1"/>
    <w:rsid w:val="000729E1"/>
    <w:rsid w:val="000B2C2F"/>
    <w:rsid w:val="000D0337"/>
    <w:rsid w:val="000E4A27"/>
    <w:rsid w:val="000E7325"/>
    <w:rsid w:val="000F4E23"/>
    <w:rsid w:val="000F672F"/>
    <w:rsid w:val="00114190"/>
    <w:rsid w:val="00125163"/>
    <w:rsid w:val="001358AF"/>
    <w:rsid w:val="001358B7"/>
    <w:rsid w:val="001373E0"/>
    <w:rsid w:val="00157EEA"/>
    <w:rsid w:val="00166B08"/>
    <w:rsid w:val="00182037"/>
    <w:rsid w:val="00185187"/>
    <w:rsid w:val="0019548A"/>
    <w:rsid w:val="001A07BD"/>
    <w:rsid w:val="001B0F6D"/>
    <w:rsid w:val="001B744E"/>
    <w:rsid w:val="001D0D79"/>
    <w:rsid w:val="001E5A77"/>
    <w:rsid w:val="001E7F8E"/>
    <w:rsid w:val="001F4473"/>
    <w:rsid w:val="001F55BC"/>
    <w:rsid w:val="002007A7"/>
    <w:rsid w:val="00225E51"/>
    <w:rsid w:val="00231FF4"/>
    <w:rsid w:val="0023588D"/>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424D8"/>
    <w:rsid w:val="003434C7"/>
    <w:rsid w:val="00351214"/>
    <w:rsid w:val="00354980"/>
    <w:rsid w:val="0038373B"/>
    <w:rsid w:val="003A6835"/>
    <w:rsid w:val="003B0352"/>
    <w:rsid w:val="003D11A1"/>
    <w:rsid w:val="003D7992"/>
    <w:rsid w:val="003E5387"/>
    <w:rsid w:val="00403365"/>
    <w:rsid w:val="00433454"/>
    <w:rsid w:val="004420EA"/>
    <w:rsid w:val="00442CD9"/>
    <w:rsid w:val="004475B5"/>
    <w:rsid w:val="004530B4"/>
    <w:rsid w:val="0045352F"/>
    <w:rsid w:val="004538E4"/>
    <w:rsid w:val="00462B5F"/>
    <w:rsid w:val="00470AB3"/>
    <w:rsid w:val="0047503F"/>
    <w:rsid w:val="00477D8E"/>
    <w:rsid w:val="00481FF7"/>
    <w:rsid w:val="00484591"/>
    <w:rsid w:val="00490B5B"/>
    <w:rsid w:val="004975D5"/>
    <w:rsid w:val="004A0FAF"/>
    <w:rsid w:val="004A3137"/>
    <w:rsid w:val="004A3770"/>
    <w:rsid w:val="004B5BCA"/>
    <w:rsid w:val="004B5D72"/>
    <w:rsid w:val="004C6A99"/>
    <w:rsid w:val="004E70D0"/>
    <w:rsid w:val="0050242A"/>
    <w:rsid w:val="00534725"/>
    <w:rsid w:val="00540F9A"/>
    <w:rsid w:val="005510FC"/>
    <w:rsid w:val="005733C5"/>
    <w:rsid w:val="00585771"/>
    <w:rsid w:val="00597330"/>
    <w:rsid w:val="005A090C"/>
    <w:rsid w:val="005A681A"/>
    <w:rsid w:val="005B0A63"/>
    <w:rsid w:val="005B40B4"/>
    <w:rsid w:val="005D0843"/>
    <w:rsid w:val="005E2A93"/>
    <w:rsid w:val="005F448F"/>
    <w:rsid w:val="005F57DD"/>
    <w:rsid w:val="00611154"/>
    <w:rsid w:val="00651DFA"/>
    <w:rsid w:val="006564A7"/>
    <w:rsid w:val="00656AFF"/>
    <w:rsid w:val="00681A85"/>
    <w:rsid w:val="006A3B09"/>
    <w:rsid w:val="006B01FD"/>
    <w:rsid w:val="006B54F8"/>
    <w:rsid w:val="006C2444"/>
    <w:rsid w:val="006D4184"/>
    <w:rsid w:val="006D6A6E"/>
    <w:rsid w:val="006E0485"/>
    <w:rsid w:val="006E607F"/>
    <w:rsid w:val="00703223"/>
    <w:rsid w:val="007043FB"/>
    <w:rsid w:val="0072148E"/>
    <w:rsid w:val="00721A42"/>
    <w:rsid w:val="007252B1"/>
    <w:rsid w:val="00733AC3"/>
    <w:rsid w:val="00735710"/>
    <w:rsid w:val="00741B7F"/>
    <w:rsid w:val="0074227A"/>
    <w:rsid w:val="00745A5F"/>
    <w:rsid w:val="00745FF7"/>
    <w:rsid w:val="0077313A"/>
    <w:rsid w:val="00780D03"/>
    <w:rsid w:val="007817AA"/>
    <w:rsid w:val="00783416"/>
    <w:rsid w:val="00791A3A"/>
    <w:rsid w:val="007A2DC9"/>
    <w:rsid w:val="007B3138"/>
    <w:rsid w:val="007C1541"/>
    <w:rsid w:val="007D68B3"/>
    <w:rsid w:val="007E05AF"/>
    <w:rsid w:val="007E2120"/>
    <w:rsid w:val="007E2A91"/>
    <w:rsid w:val="007E4DBF"/>
    <w:rsid w:val="007F6A2B"/>
    <w:rsid w:val="008042B4"/>
    <w:rsid w:val="008072C4"/>
    <w:rsid w:val="00807BCB"/>
    <w:rsid w:val="00810D11"/>
    <w:rsid w:val="008167A7"/>
    <w:rsid w:val="00823DB7"/>
    <w:rsid w:val="0082472D"/>
    <w:rsid w:val="00836D5B"/>
    <w:rsid w:val="0084186D"/>
    <w:rsid w:val="00845403"/>
    <w:rsid w:val="00870F96"/>
    <w:rsid w:val="00871A99"/>
    <w:rsid w:val="00877176"/>
    <w:rsid w:val="00882C56"/>
    <w:rsid w:val="008830C7"/>
    <w:rsid w:val="00883AE7"/>
    <w:rsid w:val="008846E1"/>
    <w:rsid w:val="00884885"/>
    <w:rsid w:val="008870D4"/>
    <w:rsid w:val="008A245F"/>
    <w:rsid w:val="008A2950"/>
    <w:rsid w:val="008A67AB"/>
    <w:rsid w:val="008A7EC6"/>
    <w:rsid w:val="008B0BF9"/>
    <w:rsid w:val="008B5B71"/>
    <w:rsid w:val="008D2270"/>
    <w:rsid w:val="008D555C"/>
    <w:rsid w:val="008D58FE"/>
    <w:rsid w:val="008D657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E1026"/>
    <w:rsid w:val="009E3448"/>
    <w:rsid w:val="009E560C"/>
    <w:rsid w:val="009F3877"/>
    <w:rsid w:val="009F4992"/>
    <w:rsid w:val="00A04211"/>
    <w:rsid w:val="00A20DFE"/>
    <w:rsid w:val="00A31096"/>
    <w:rsid w:val="00A41444"/>
    <w:rsid w:val="00A463B7"/>
    <w:rsid w:val="00A57375"/>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441AA"/>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84BB5"/>
    <w:rsid w:val="00C95EA9"/>
    <w:rsid w:val="00CB5025"/>
    <w:rsid w:val="00CB5051"/>
    <w:rsid w:val="00CB540A"/>
    <w:rsid w:val="00CE12DD"/>
    <w:rsid w:val="00CE3EE3"/>
    <w:rsid w:val="00CF32D1"/>
    <w:rsid w:val="00CF56E1"/>
    <w:rsid w:val="00D1582C"/>
    <w:rsid w:val="00D2061F"/>
    <w:rsid w:val="00D219BA"/>
    <w:rsid w:val="00D23699"/>
    <w:rsid w:val="00D24D7A"/>
    <w:rsid w:val="00D3145E"/>
    <w:rsid w:val="00D43F25"/>
    <w:rsid w:val="00D44337"/>
    <w:rsid w:val="00D45D43"/>
    <w:rsid w:val="00D50BEE"/>
    <w:rsid w:val="00D578D9"/>
    <w:rsid w:val="00D602FA"/>
    <w:rsid w:val="00D6080E"/>
    <w:rsid w:val="00D6714C"/>
    <w:rsid w:val="00D73652"/>
    <w:rsid w:val="00D87023"/>
    <w:rsid w:val="00D92C7A"/>
    <w:rsid w:val="00DA590F"/>
    <w:rsid w:val="00DB1C40"/>
    <w:rsid w:val="00DC17B6"/>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24FCC"/>
    <w:rsid w:val="00F26FE9"/>
    <w:rsid w:val="00F34BAA"/>
    <w:rsid w:val="00F34EB5"/>
    <w:rsid w:val="00F3767D"/>
    <w:rsid w:val="00F417AE"/>
    <w:rsid w:val="00F434D4"/>
    <w:rsid w:val="00F47784"/>
    <w:rsid w:val="00F5145C"/>
    <w:rsid w:val="00F51C13"/>
    <w:rsid w:val="00F51E54"/>
    <w:rsid w:val="00FA0DA7"/>
    <w:rsid w:val="00FA38AB"/>
    <w:rsid w:val="00FB5BE7"/>
    <w:rsid w:val="00FC1BAC"/>
    <w:rsid w:val="00FD50C5"/>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18651</Words>
  <Characters>117504</Characters>
  <Application>Microsoft Office Word</Application>
  <DocSecurity>0</DocSecurity>
  <Lines>979</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67</cp:revision>
  <dcterms:created xsi:type="dcterms:W3CDTF">2023-11-07T10:31:00Z</dcterms:created>
  <dcterms:modified xsi:type="dcterms:W3CDTF">2024-01-22T15:09:00Z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id="CwAoRwvT"/&gt;&lt;style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