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spacing w:after="0" w:before="0" w:line="259" w:lineRule="auto"/>
              <w:ind w:left="0" w:firstLine="0"/>
              <w:jc w:val="both"/>
              <w:rPr/>
            </w:pPr>
            <w:r w:rsidDel="00000000" w:rsidR="00000000" w:rsidRPr="00000000">
              <w:rPr>
                <w:rFonts w:ascii="Calibri" w:cs="Calibri" w:eastAsia="Calibri" w:hAnsi="Calibri"/>
                <w:b w:val="1"/>
                <w:bCs w:val="1"/>
                <w:sz w:val="20"/>
                <w:szCs w:val="20"/>
                <w:rtl w:val="0"/>
              </w:rPr>
              <w:t xml:space="preserve">MiniTrabajo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after="0" w:before="0" w:line="259" w:lineRule="auto"/>
              <w:ind w:left="0" w:firstLine="0"/>
              <w:jc w:val="both"/>
              <w:rPr/>
            </w:pPr>
            <w:r w:rsidDel="00000000" w:rsidR="00000000" w:rsidRPr="00000000">
              <w:rPr>
                <w:rFonts w:ascii="Calibri" w:cs="Calibri" w:eastAsia="Calibri" w:hAnsi="Calibri"/>
                <w:sz w:val="20"/>
                <w:szCs w:val="20"/>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0" w:before="0" w:line="259" w:lineRule="auto"/>
              <w:ind w:left="0" w:firstLine="0"/>
              <w:jc w:val="both"/>
              <w:rPr/>
            </w:pPr>
            <w:r w:rsidDel="00000000" w:rsidR="00000000" w:rsidRPr="00000000">
              <w:rPr>
                <w:i w:val="1"/>
                <w:iCs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top"/>
          </w:tcPr>
          <w:p w:rsidR="00000000" w:rsidDel="00000000" w:rsidP="00000000" w:rsidRDefault="00000000" w:rsidRPr="00000000" w14:paraId="00000019">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Problema abordado</w:t>
            </w:r>
            <w:r w:rsidDel="00000000" w:rsidR="00000000" w:rsidRPr="00000000">
              <w:rPr>
                <w:rtl w:val="0"/>
              </w:rPr>
            </w:r>
          </w:p>
          <w:p w:rsidR="00000000" w:rsidDel="00000000" w:rsidP="00000000" w:rsidRDefault="00000000" w:rsidRPr="00000000" w14:paraId="0000001A">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MiniTrabajo aborda la dificultad de conectar, de forma rápida y confiable, a personas que necesitan ayuda en una tarea puntual del día a día (por ejemplo, mover un mueble o un piano) con otras personas dispuestas a realizarla. La solución es una aplicación móvil que actúa como intermediaria: un solicitante publica una tarea con su ubicación y el pago ofrecido, un ejecutor se postula, el solicitante acepta una postulación y ambos coordinan los detalles por WhatsApp. La plataforma no establece una relación laboral entre las partes.</w:t>
            </w:r>
            <w:r w:rsidDel="00000000" w:rsidR="00000000" w:rsidRPr="00000000">
              <w:rPr>
                <w:rtl w:val="0"/>
              </w:rPr>
            </w:r>
          </w:p>
          <w:p w:rsidR="00000000" w:rsidDel="00000000" w:rsidP="00000000" w:rsidRDefault="00000000" w:rsidRPr="00000000" w14:paraId="0000001B">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Relevancia para el campo laboral</w:t>
            </w:r>
            <w:r w:rsidDel="00000000" w:rsidR="00000000" w:rsidRPr="00000000">
              <w:rPr>
                <w:rtl w:val="0"/>
              </w:rPr>
            </w:r>
          </w:p>
          <w:p w:rsidR="00000000" w:rsidDel="00000000" w:rsidP="00000000" w:rsidRDefault="00000000" w:rsidRPr="00000000" w14:paraId="0000001C">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El proyecto reproduce el ciclo completo de desarrollo de una aplicación móvil con servicios en la nube, una labor habitual en el área de desarrollo de software: levantamiento y priorización de requisitos (Product Backlog), diseño de la arquitectura y del modelo de datos, implementación con tecnologías vigentes (React Native, TypeScript y Supabase), planificación de pruebas y gestión ágil con Scrum. Además, incorpora aspectos propios de la industria, como la autenticación de usuarios, el manejo de datos personales en los perfiles y un modelo de monetización.</w:t>
            </w:r>
            <w:r w:rsidDel="00000000" w:rsidR="00000000" w:rsidRPr="00000000">
              <w:rPr>
                <w:rtl w:val="0"/>
              </w:rPr>
            </w:r>
          </w:p>
          <w:p w:rsidR="00000000" w:rsidDel="00000000" w:rsidP="00000000" w:rsidRDefault="00000000" w:rsidRPr="00000000" w14:paraId="0000001D">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Contexto y usuarios</w:t>
            </w:r>
            <w:r w:rsidDel="00000000" w:rsidR="00000000" w:rsidRPr="00000000">
              <w:rPr>
                <w:rtl w:val="0"/>
              </w:rPr>
            </w:r>
          </w:p>
          <w:p w:rsidR="00000000" w:rsidDel="00000000" w:rsidP="00000000" w:rsidRDefault="00000000" w:rsidRPr="00000000" w14:paraId="0000001E">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La solución se sitúa en Chile: la aplicación modela la región y la comuna de los usuarios y de las tareas. Los usuarios son de dos tipos: los solicitantes, que publican tareas, y los ejecutores, que las realizan; una misma persona puede usar la aplicación en ambos roles.</w:t>
            </w:r>
            <w:r w:rsidDel="00000000" w:rsidR="00000000" w:rsidRPr="00000000">
              <w:rPr>
                <w:rtl w:val="0"/>
              </w:rPr>
            </w:r>
          </w:p>
          <w:p w:rsidR="00000000" w:rsidDel="00000000" w:rsidP="00000000" w:rsidRDefault="00000000" w:rsidRPr="00000000" w14:paraId="0000001F">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Aporte de valor (simulado)</w:t>
            </w:r>
            <w:r w:rsidDel="00000000" w:rsidR="00000000" w:rsidRPr="00000000">
              <w:rPr>
                <w:rtl w:val="0"/>
              </w:rPr>
            </w:r>
          </w:p>
          <w:p w:rsidR="00000000" w:rsidDel="00000000" w:rsidP="00000000" w:rsidRDefault="00000000" w:rsidRPr="00000000" w14:paraId="00000020">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El aporte es simulado, ya que la aplicación se ejecuta en un entorno de desarrollo (Expo Go) y no ha sido puesta en producción. Su propuesta de valor consiste en: (i) facilitar la búsqueda de tareas cercanas mediante filtros por categoría, distancia y monto; (ii) generar confianza mediante perfiles y reputación de los usuarios; y (iii) simplificar la coordinación mediante el contacto directo por WhatsApp entre las dos partes de una tarea aceptada.</w:t>
            </w:r>
            <w:r w:rsidDel="00000000" w:rsidR="00000000" w:rsidRPr="00000000">
              <w:rPr>
                <w:rtl w:val="0"/>
              </w:rPr>
            </w:r>
          </w:p>
          <w:p w:rsidR="00000000" w:rsidDel="00000000" w:rsidP="00000000" w:rsidRDefault="00000000" w:rsidRPr="00000000" w14:paraId="00000021">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Innovación </w:t>
            </w:r>
            <w:r w:rsidDel="00000000" w:rsidR="00000000" w:rsidRPr="00000000">
              <w:rPr>
                <w:rtl w:val="0"/>
              </w:rPr>
            </w:r>
          </w:p>
          <w:p w:rsidR="00000000" w:rsidDel="00000000" w:rsidP="00000000" w:rsidRDefault="00000000" w:rsidRPr="00000000" w14:paraId="00000022">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¿Qué problema resuelve? </w:t>
            </w:r>
            <w:r w:rsidDel="00000000" w:rsidR="00000000" w:rsidRPr="00000000">
              <w:rPr>
                <w:rFonts w:ascii="Calibri" w:cs="Calibri" w:eastAsia="Calibri" w:hAnsi="Calibri"/>
                <w:sz w:val="20"/>
                <w:szCs w:val="20"/>
                <w:rtl w:val="0"/>
              </w:rPr>
              <w:t xml:space="preserve">Reduce la dificultad de encontrar, para una tarea puntual, a una persona disponible y confiable en la cercanía del solicitante.</w:t>
            </w:r>
            <w:r w:rsidDel="00000000" w:rsidR="00000000" w:rsidRPr="00000000">
              <w:rPr>
                <w:rtl w:val="0"/>
              </w:rPr>
            </w:r>
          </w:p>
          <w:p w:rsidR="00000000" w:rsidDel="00000000" w:rsidP="00000000" w:rsidRDefault="00000000" w:rsidRPr="00000000" w14:paraId="00000023">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¿Qué hace diferente a la solución? </w:t>
            </w:r>
            <w:r w:rsidDel="00000000" w:rsidR="00000000" w:rsidRPr="00000000">
              <w:rPr>
                <w:rFonts w:ascii="Calibri" w:cs="Calibri" w:eastAsia="Calibri" w:hAnsi="Calibri"/>
                <w:sz w:val="20"/>
                <w:szCs w:val="20"/>
                <w:rtl w:val="0"/>
              </w:rPr>
              <w:t xml:space="preserve">Combina en una sola aplicación: (a) la búsqueda de tareas según cercanía, con filtros por categoría, distancia y monto, y su visualización en mapa (en desarrollo); (b) un flujo de postulación y aceptación en el que el solicitante elige a quién asigna la tarea; (c) la reputación visible de cada usuario a partir de calificaciones; y (d) la coordinación directa por WhatsApp, sin necesidad de un chat interno.</w:t>
            </w:r>
            <w:r w:rsidDel="00000000" w:rsidR="00000000" w:rsidRPr="00000000">
              <w:rPr>
                <w:rtl w:val="0"/>
              </w:rPr>
            </w:r>
          </w:p>
          <w:p w:rsidR="00000000" w:rsidDel="00000000" w:rsidP="00000000" w:rsidRDefault="00000000" w:rsidRPr="00000000" w14:paraId="00000024">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¿Qué valor agrega? </w:t>
            </w:r>
            <w:r w:rsidDel="00000000" w:rsidR="00000000" w:rsidRPr="00000000">
              <w:rPr>
                <w:rFonts w:ascii="Calibri" w:cs="Calibri" w:eastAsia="Calibri" w:hAnsi="Calibri"/>
                <w:sz w:val="20"/>
                <w:szCs w:val="20"/>
                <w:rtl w:val="0"/>
              </w:rPr>
              <w:t xml:space="preserve">Para el solicitante, una forma ágil de resolver una necesidad puntual; para el ejecutor, acceso a oportunidades de trabajo ocasional en su zona; y para el proyecto, un modelo de monetización mediante funciones premium (destacar tareas o perfiles con créditos).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top"/>
          </w:tcPr>
          <w:p w:rsidR="00000000" w:rsidDel="00000000" w:rsidP="00000000" w:rsidRDefault="00000000" w:rsidRPr="00000000" w14:paraId="00000026">
            <w:pPr>
              <w:tabs>
                <w:tab w:val="center" w:leader="none" w:pos="4419"/>
                <w:tab w:val="right" w:leader="none" w:pos="8838"/>
              </w:tabs>
              <w:spacing w:after="0" w:line="240" w:lineRule="auto"/>
              <w:jc w:val="both"/>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top"/>
          </w:tcPr>
          <w:p w:rsidR="00000000" w:rsidDel="00000000" w:rsidP="00000000" w:rsidRDefault="00000000" w:rsidRPr="00000000" w14:paraId="00000028">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Metodología utilizada</w:t>
            </w:r>
            <w:r w:rsidDel="00000000" w:rsidR="00000000" w:rsidRPr="00000000">
              <w:rPr>
                <w:rtl w:val="0"/>
              </w:rPr>
            </w:r>
          </w:p>
          <w:p w:rsidR="00000000" w:rsidDel="00000000" w:rsidP="00000000" w:rsidRDefault="00000000" w:rsidRPr="00000000" w14:paraId="00000029">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El equipo trabajó con el marco ágil Scrum, complementado con un tablero Kanban en Trello, siguiendo la opción de marco ágil del anexo de artefactos entregado por el docente. Los roles fueron: Kevin Valenzuela, gestión de proyectos y Scrum Master; y Fabián Molina y Alexsander Atenas, desarrolladores.</w:t>
            </w:r>
            <w:r w:rsidDel="00000000" w:rsidR="00000000" w:rsidRPr="00000000">
              <w:rPr>
                <w:rtl w:val="0"/>
              </w:rPr>
            </w:r>
          </w:p>
          <w:p w:rsidR="00000000" w:rsidDel="00000000" w:rsidP="00000000" w:rsidRDefault="00000000" w:rsidRPr="00000000" w14:paraId="0000002A">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Fases y procedimientos</w:t>
            </w:r>
            <w:r w:rsidDel="00000000" w:rsidR="00000000" w:rsidRPr="00000000">
              <w:rPr>
                <w:rtl w:val="0"/>
              </w:rPr>
            </w:r>
          </w:p>
          <w:p w:rsidR="00000000" w:rsidDel="00000000" w:rsidP="00000000" w:rsidRDefault="00000000" w:rsidRPr="00000000" w14:paraId="0000002B">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Definición del producto. </w:t>
            </w:r>
            <w:r w:rsidDel="00000000" w:rsidR="00000000" w:rsidRPr="00000000">
              <w:rPr>
                <w:rFonts w:ascii="Calibri" w:cs="Calibri" w:eastAsia="Calibri" w:hAnsi="Calibri"/>
                <w:sz w:val="20"/>
                <w:szCs w:val="20"/>
                <w:rtl w:val="0"/>
              </w:rPr>
              <w:t xml:space="preserve">Se elaboró el Product Vision y un Product Backlog priorizado con 15 historias de usuario (formato «Como / quiero / para», con criterios de aceptación), agrupadas en cuatro épicas: Registro y Perfil de Usuario; Publicación y Visualización de Tareas (mapa); Aceptación y Ciclo de Vida de la Tarea; y Funcionalidades Premium (monetización). El orden de las épicas define la prioridad de los sprints.</w:t>
            </w:r>
            <w:r w:rsidDel="00000000" w:rsidR="00000000" w:rsidRPr="00000000">
              <w:rPr>
                <w:rtl w:val="0"/>
              </w:rPr>
            </w:r>
          </w:p>
          <w:p w:rsidR="00000000" w:rsidDel="00000000" w:rsidP="00000000" w:rsidRDefault="00000000" w:rsidRPr="00000000" w14:paraId="0000002C">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Sprint 1: planificación y diseño. </w:t>
            </w:r>
            <w:r w:rsidDel="00000000" w:rsidR="00000000" w:rsidRPr="00000000">
              <w:rPr>
                <w:rFonts w:ascii="Calibri" w:cs="Calibri" w:eastAsia="Calibri" w:hAnsi="Calibri"/>
                <w:sz w:val="20"/>
                <w:szCs w:val="20"/>
                <w:rtl w:val="0"/>
              </w:rPr>
              <w:t xml:space="preserve">Desde la semana del 24 de agosto de 2026 se prepararon el mockup de la aplicación (6 pantallas en Figma), el tablero de Trello, la planilla de KPIs, la planilla de riesgos con matriz de probabilidad e impacto, el Modelo Canvas y el mapa tecnológico. Este sprint no incluyó código.</w:t>
            </w:r>
            <w:r w:rsidDel="00000000" w:rsidR="00000000" w:rsidRPr="00000000">
              <w:rPr>
                <w:rtl w:val="0"/>
              </w:rPr>
            </w:r>
          </w:p>
          <w:p w:rsidR="00000000" w:rsidDel="00000000" w:rsidP="00000000" w:rsidRDefault="00000000" w:rsidRPr="00000000" w14:paraId="0000002D">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Sprint 2: desarrollo. </w:t>
            </w:r>
            <w:r w:rsidDel="00000000" w:rsidR="00000000" w:rsidRPr="00000000">
              <w:rPr>
                <w:rFonts w:ascii="Calibri" w:cs="Calibri" w:eastAsia="Calibri" w:hAnsi="Calibri"/>
                <w:sz w:val="20"/>
                <w:szCs w:val="20"/>
                <w:rtl w:val="0"/>
              </w:rPr>
              <w:t xml:space="preserve">En la reunión de planificación del 14 de septiembre de 2026 se fijó como objetivo iniciar el desarrollo de las primeras líneas de código para construir un producto mínimo viable (MVP), tomando como base las épicas del Product Backlog y los KPIs. El avance se gestiona en el tablero Kanban (Product Backlog, En progreso y Hecho), donde cada tarjeta es una historia con su etiqueta de épica y donde quien la desarrolla registra lo realizado en los comentarios.</w:t>
            </w:r>
            <w:r w:rsidDel="00000000" w:rsidR="00000000" w:rsidRPr="00000000">
              <w:rPr>
                <w:rtl w:val="0"/>
              </w:rPr>
            </w:r>
          </w:p>
          <w:p w:rsidR="00000000" w:rsidDel="00000000" w:rsidP="00000000" w:rsidRDefault="00000000" w:rsidRPr="00000000" w14:paraId="0000002E">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Seguimiento y adaptación. </w:t>
            </w:r>
            <w:r w:rsidDel="00000000" w:rsidR="00000000" w:rsidRPr="00000000">
              <w:rPr>
                <w:rFonts w:ascii="Calibri" w:cs="Calibri" w:eastAsia="Calibri" w:hAnsi="Calibri"/>
                <w:sz w:val="20"/>
                <w:szCs w:val="20"/>
                <w:rtl w:val="0"/>
              </w:rPr>
              <w:t xml:space="preserve">Las reuniones del equipo se documentaron en actas en Trello (26-08, 14-09 y 29-09) y los acuerdos se reflejaron en el backlog y en la documentación.</w:t>
            </w:r>
            <w:r w:rsidDel="00000000" w:rsidR="00000000" w:rsidRPr="00000000">
              <w:rPr>
                <w:rtl w:val="0"/>
              </w:rPr>
            </w:r>
          </w:p>
          <w:p w:rsidR="00000000" w:rsidDel="00000000" w:rsidP="00000000" w:rsidRDefault="00000000" w:rsidRPr="00000000" w14:paraId="0000002F">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Aseguramiento de la calidad. </w:t>
            </w:r>
            <w:r w:rsidDel="00000000" w:rsidR="00000000" w:rsidRPr="00000000">
              <w:rPr>
                <w:rFonts w:ascii="Calibri" w:cs="Calibri" w:eastAsia="Calibri" w:hAnsi="Calibri"/>
                <w:sz w:val="20"/>
                <w:szCs w:val="20"/>
                <w:rtl w:val="0"/>
              </w:rPr>
              <w:t xml:space="preserve">Se definió una Definition of Done (8 criterios por historia y 4 por sprint), un Plan de Pruebas derivado de los criterios de aceptación y requisitos no funcionales con metas tomadas de los KPIs y de la planilla de riesgos.</w:t>
            </w:r>
            <w:r w:rsidDel="00000000" w:rsidR="00000000" w:rsidRPr="00000000">
              <w:rPr>
                <w:rtl w:val="0"/>
              </w:rPr>
            </w:r>
          </w:p>
          <w:p w:rsidR="00000000" w:rsidDel="00000000" w:rsidP="00000000" w:rsidRDefault="00000000" w:rsidRPr="00000000" w14:paraId="00000030">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Retrospectiva. </w:t>
            </w:r>
            <w:r w:rsidDel="00000000" w:rsidR="00000000" w:rsidRPr="00000000">
              <w:rPr>
                <w:rFonts w:ascii="Calibri" w:cs="Calibri" w:eastAsia="Calibri" w:hAnsi="Calibri"/>
                <w:sz w:val="20"/>
                <w:szCs w:val="20"/>
                <w:rtl w:val="0"/>
              </w:rPr>
              <w:t xml:space="preserve">Al cierre del sprint, el equipo revisa qué funcionó, qué debe mejorar y qué acuerdos tomará, y lo deja documentado como evidencia de retrospectiva.</w:t>
            </w:r>
            <w:r w:rsidDel="00000000" w:rsidR="00000000" w:rsidRPr="00000000">
              <w:rPr>
                <w:rtl w:val="0"/>
              </w:rPr>
            </w:r>
          </w:p>
          <w:p w:rsidR="00000000" w:rsidDel="00000000" w:rsidP="00000000" w:rsidRDefault="00000000" w:rsidRPr="00000000" w14:paraId="00000031">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Pertinencia de la metodología</w:t>
            </w:r>
            <w:r w:rsidDel="00000000" w:rsidR="00000000" w:rsidRPr="00000000">
              <w:rPr>
                <w:rtl w:val="0"/>
              </w:rPr>
            </w:r>
          </w:p>
          <w:p w:rsidR="00000000" w:rsidDel="00000000" w:rsidP="00000000" w:rsidRDefault="00000000" w:rsidRPr="00000000" w14:paraId="00000032">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Scrum se basa en el control empírico del proceso (transparencia, inspección y adaptación) y en la entrega de incrementos en ciclos cortos (Schwaber &amp; Sutherland, 2020). Esto fue pertinente para cumplir los objetivos por cuatro razones:</w:t>
            </w:r>
            <w:r w:rsidDel="00000000" w:rsidR="00000000" w:rsidRPr="00000000">
              <w:rPr>
                <w:rtl w:val="0"/>
              </w:rPr>
            </w:r>
          </w:p>
          <w:p w:rsidR="00000000" w:rsidDel="00000000" w:rsidP="00000000" w:rsidRDefault="00000000" w:rsidRPr="00000000" w14:paraId="00000033">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Los requisitos y las decisiones técnicas evolucionaron durante el desarrollo (por ejemplo, el cambio de arquitectura a Supabase, el paso de la aceptación directa a un flujo de postulación y el cambio del chat interno a WhatsApp). Los ciclos cortos permitieron incorporar estos cambios sin rehacer toda la planificación.</w:t>
            </w:r>
            <w:r w:rsidDel="00000000" w:rsidR="00000000" w:rsidRPr="00000000">
              <w:rPr>
                <w:rtl w:val="0"/>
              </w:rPr>
            </w:r>
          </w:p>
          <w:p w:rsidR="00000000" w:rsidDel="00000000" w:rsidP="00000000" w:rsidRDefault="00000000" w:rsidRPr="00000000" w14:paraId="00000034">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Un equipo de tres personas con roles definidos (gestión y documentación por una parte; desarrollo por otra) se adapta bien a un marco liviano como Scrum, que permitió trabajar en paralelo.</w:t>
            </w:r>
            <w:r w:rsidDel="00000000" w:rsidR="00000000" w:rsidRPr="00000000">
              <w:rPr>
                <w:rtl w:val="0"/>
              </w:rPr>
            </w:r>
          </w:p>
          <w:p w:rsidR="00000000" w:rsidDel="00000000" w:rsidP="00000000" w:rsidRDefault="00000000" w:rsidRPr="00000000" w14:paraId="00000035">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El Product Backlog con criterios de aceptación permite la trazabilidad entre historias de usuario, casos de prueba y KPIs.</w:t>
            </w:r>
            <w:r w:rsidDel="00000000" w:rsidR="00000000" w:rsidRPr="00000000">
              <w:rPr>
                <w:rtl w:val="0"/>
              </w:rPr>
            </w:r>
          </w:p>
          <w:p w:rsidR="00000000" w:rsidDel="00000000" w:rsidP="00000000" w:rsidRDefault="00000000" w:rsidRPr="00000000" w14:paraId="00000036">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El tablero y las actas dan transparencia sobre el estado del trabajo y sobre las decisiones tomadas.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top"/>
          </w:tcPr>
          <w:p w:rsidR="00000000" w:rsidDel="00000000" w:rsidP="00000000" w:rsidRDefault="00000000" w:rsidRPr="00000000" w14:paraId="00000038">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Etapas y actividades</w:t>
            </w:r>
            <w:r w:rsidDel="00000000" w:rsidR="00000000" w:rsidRPr="00000000">
              <w:rPr>
                <w:rtl w:val="0"/>
              </w:rPr>
            </w:r>
          </w:p>
          <w:p w:rsidR="00000000" w:rsidDel="00000000" w:rsidP="00000000" w:rsidRDefault="00000000" w:rsidRPr="00000000" w14:paraId="00000039">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Etapa 1: planificación y diseño (Sprint 1). </w:t>
            </w:r>
            <w:r w:rsidDel="00000000" w:rsidR="00000000" w:rsidRPr="00000000">
              <w:rPr>
                <w:rFonts w:ascii="Calibri" w:cs="Calibri" w:eastAsia="Calibri" w:hAnsi="Calibri"/>
                <w:sz w:val="20"/>
                <w:szCs w:val="20"/>
                <w:rtl w:val="0"/>
              </w:rPr>
              <w:t xml:space="preserve">Product Vision, Product Backlog, mockup en Figma (buscador, mapa, perfil, recarga de créditos, publicación de trabajo y notificaciones), planilla de KPIs (17 indicadores), planilla de riesgos, Modelo Canvas y tablero de Trello.</w:t>
            </w:r>
            <w:r w:rsidDel="00000000" w:rsidR="00000000" w:rsidRPr="00000000">
              <w:rPr>
                <w:rtl w:val="0"/>
              </w:rPr>
            </w:r>
          </w:p>
          <w:p w:rsidR="00000000" w:rsidDel="00000000" w:rsidP="00000000" w:rsidRDefault="00000000" w:rsidRPr="00000000" w14:paraId="0000003A">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Etapa 2: diseño técnico. </w:t>
            </w:r>
            <w:r w:rsidDel="00000000" w:rsidR="00000000" w:rsidRPr="00000000">
              <w:rPr>
                <w:rFonts w:ascii="Calibri" w:cs="Calibri" w:eastAsia="Calibri" w:hAnsi="Calibri"/>
                <w:sz w:val="20"/>
                <w:szCs w:val="20"/>
                <w:rtl w:val="0"/>
              </w:rPr>
              <w:t xml:space="preserve">La arquitectura inicial consideraba el patrón MVC con React Native, Node.js con Express y PostgreSQL. En la reunión del 29-09 se acordó una arquitectura cliente-servidor basada en un BaaS (Supabase), y se actualizaron el diagrama de componentes y el mapa tecnológico. Se elaboraron los casos de uso (uno por épica), el modelo de datos de 7 tablas (perfiles, trabajos, postulaciones, resenas, categorias, comunas y regiones), el diagrama de clases, los diagramas de secuencia y el Documento de Diseño.</w:t>
            </w:r>
            <w:r w:rsidDel="00000000" w:rsidR="00000000" w:rsidRPr="00000000">
              <w:rPr>
                <w:rtl w:val="0"/>
              </w:rPr>
            </w:r>
          </w:p>
          <w:p w:rsidR="00000000" w:rsidDel="00000000" w:rsidP="00000000" w:rsidRDefault="00000000" w:rsidRPr="00000000" w14:paraId="0000003B">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Etapa 3: implementación (Sprint 2). </w:t>
            </w:r>
            <w:r w:rsidDel="00000000" w:rsidR="00000000" w:rsidRPr="00000000">
              <w:rPr>
                <w:rFonts w:ascii="Calibri" w:cs="Calibri" w:eastAsia="Calibri" w:hAnsi="Calibri"/>
                <w:sz w:val="20"/>
                <w:szCs w:val="20"/>
                <w:rtl w:val="0"/>
              </w:rPr>
              <w:t xml:space="preserve">Aplicación móvil en React Native con Expo y TypeScript (React Native 0.86.3, Expo ~57.0.25, TypeScript ~6.0.3), conectada a Supabase mediante @supabase/supabase-js ^2.117.2 para autenticación, base de datos PostgreSQL y almacenamiento de archivos (buckets avatars y trabajos). Las pantallas principales son autenticación (AuthScreen), listado de trabajos (TrabajosScreen), publicación (PublicarScreen) y perfil (PerfilScreen), con su lógica en src/utils y la conexión a Supabase en src/services/supabase.ts.</w:t>
            </w:r>
            <w:r w:rsidDel="00000000" w:rsidR="00000000" w:rsidRPr="00000000">
              <w:rPr>
                <w:rtl w:val="0"/>
              </w:rPr>
            </w:r>
          </w:p>
          <w:p w:rsidR="00000000" w:rsidDel="00000000" w:rsidP="00000000" w:rsidRDefault="00000000" w:rsidRPr="00000000" w14:paraId="0000003C">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Etapa 4: documentación de calidad y pruebas. </w:t>
            </w:r>
            <w:r w:rsidDel="00000000" w:rsidR="00000000" w:rsidRPr="00000000">
              <w:rPr>
                <w:rFonts w:ascii="Calibri" w:cs="Calibri" w:eastAsia="Calibri" w:hAnsi="Calibri"/>
                <w:sz w:val="20"/>
                <w:szCs w:val="20"/>
                <w:rtl w:val="0"/>
              </w:rPr>
              <w:t xml:space="preserve">Definition of Done (v1.1), Sprint Backlog, requisitos no funcionales (v1.1), sección de innovación y Plan de Pruebas con 37 casos funcionales (CP) y 10 pruebas no funcionales (PN), todos derivados de los criterios de aceptación de las historias.</w:t>
            </w:r>
            <w:r w:rsidDel="00000000" w:rsidR="00000000" w:rsidRPr="00000000">
              <w:rPr>
                <w:rtl w:val="0"/>
              </w:rPr>
            </w:r>
          </w:p>
          <w:p w:rsidR="00000000" w:rsidDel="00000000" w:rsidP="00000000" w:rsidRDefault="00000000" w:rsidRPr="00000000" w14:paraId="0000003D">
            <w:pPr>
              <w:numPr>
                <w:ilvl w:val="0"/>
                <w:numId w:val="1"/>
              </w:numPr>
              <w:spacing w:after="50" w:before="0" w:line="259" w:lineRule="auto"/>
              <w:ind w:left="500" w:hanging="260"/>
              <w:jc w:val="both"/>
              <w:rPr/>
            </w:pPr>
            <w:r w:rsidDel="00000000" w:rsidR="00000000" w:rsidRPr="00000000">
              <w:rPr>
                <w:rFonts w:ascii="Calibri" w:cs="Calibri" w:eastAsia="Calibri" w:hAnsi="Calibri"/>
                <w:b w:val="1"/>
                <w:bCs w:val="1"/>
                <w:sz w:val="20"/>
                <w:szCs w:val="20"/>
                <w:rtl w:val="0"/>
              </w:rPr>
              <w:t xml:space="preserve">Avance del backlog. </w:t>
            </w:r>
            <w:r w:rsidDel="00000000" w:rsidR="00000000" w:rsidRPr="00000000">
              <w:rPr>
                <w:rFonts w:ascii="Calibri" w:cs="Calibri" w:eastAsia="Calibri" w:hAnsi="Calibri"/>
                <w:sz w:val="20"/>
                <w:szCs w:val="20"/>
                <w:rtl w:val="0"/>
              </w:rPr>
              <w:t xml:space="preserve">Según el tablero de Trello, 12 de las 15 historias están en Hecho: 4 de 4 en la Épica 1, 3 de 4 en la Épica 2, 4 de 5 en la Épica 3 y 1 de 2 en la Épica 4. Tres historias continúan en desarrollo: Ver tareas cercanas en el mapa, Calificar al otro usuario y Gestionar métodos de pago dentro de la app.</w:t>
            </w:r>
            <w:r w:rsidDel="00000000" w:rsidR="00000000" w:rsidRPr="00000000">
              <w:rPr>
                <w:rtl w:val="0"/>
              </w:rPr>
            </w:r>
          </w:p>
          <w:p w:rsidR="00000000" w:rsidDel="00000000" w:rsidP="00000000" w:rsidRDefault="00000000" w:rsidRPr="00000000" w14:paraId="0000003E">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Facilitadores</w:t>
            </w:r>
            <w:r w:rsidDel="00000000" w:rsidR="00000000" w:rsidRPr="00000000">
              <w:rPr>
                <w:rtl w:val="0"/>
              </w:rPr>
            </w:r>
          </w:p>
          <w:p w:rsidR="00000000" w:rsidDel="00000000" w:rsidP="00000000" w:rsidRDefault="00000000" w:rsidRPr="00000000" w14:paraId="0000003F">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Roles definidos desde el inicio: la gestión y la documentación estuvieron a cargo de una persona y el desarrollo de otras dos, lo que permitió avanzar en paralelo.</w:t>
            </w:r>
            <w:r w:rsidDel="00000000" w:rsidR="00000000" w:rsidRPr="00000000">
              <w:rPr>
                <w:rtl w:val="0"/>
              </w:rPr>
            </w:r>
          </w:p>
          <w:p w:rsidR="00000000" w:rsidDel="00000000" w:rsidP="00000000" w:rsidRDefault="00000000" w:rsidRPr="00000000" w14:paraId="00000040">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Historias de usuario con criterios de aceptación explícitos, que los desarrolladores usaron como guía y sobre las que dejaron comentarios de lo realizado, lo que sirvió de bitácora del desarrollo.</w:t>
            </w:r>
            <w:r w:rsidDel="00000000" w:rsidR="00000000" w:rsidRPr="00000000">
              <w:rPr>
                <w:rtl w:val="0"/>
              </w:rPr>
            </w:r>
          </w:p>
          <w:p w:rsidR="00000000" w:rsidDel="00000000" w:rsidP="00000000" w:rsidRDefault="00000000" w:rsidRPr="00000000" w14:paraId="00000041">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El uso de Supabase como BaaS (Supabase, s. f.), que evitó construir y mantener un servidor propio para la autenticación, la base de datos y el almacenamiento.</w:t>
            </w:r>
            <w:r w:rsidDel="00000000" w:rsidR="00000000" w:rsidRPr="00000000">
              <w:rPr>
                <w:rtl w:val="0"/>
              </w:rPr>
            </w:r>
          </w:p>
          <w:p w:rsidR="00000000" w:rsidDel="00000000" w:rsidP="00000000" w:rsidRDefault="00000000" w:rsidRPr="00000000" w14:paraId="00000042">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Las guías, pautas y el anexo de artefactos del docente, que orientaron qué documentar y cómo estructurarlo.</w:t>
            </w:r>
            <w:r w:rsidDel="00000000" w:rsidR="00000000" w:rsidRPr="00000000">
              <w:rPr>
                <w:rtl w:val="0"/>
              </w:rPr>
            </w:r>
          </w:p>
          <w:p w:rsidR="00000000" w:rsidDel="00000000" w:rsidP="00000000" w:rsidRDefault="00000000" w:rsidRPr="00000000" w14:paraId="00000043">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La retroalimentación de la Fase 1, que calificó la metodología propuesta y las evidencias determinadas como logro incipiente. A partir de ella, el equipo formalizó en la Fase 2 el trabajo con Scrum y Kanban y sus artefactos, y organizó las evidencias de documentación, código y datos para su entrega en el repositorio Git.</w:t>
            </w:r>
            <w:r w:rsidDel="00000000" w:rsidR="00000000" w:rsidRPr="00000000">
              <w:rPr>
                <w:rtl w:val="0"/>
              </w:rPr>
            </w:r>
          </w:p>
          <w:p w:rsidR="00000000" w:rsidDel="00000000" w:rsidP="00000000" w:rsidRDefault="00000000" w:rsidRPr="00000000" w14:paraId="00000044">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Herramientas de apoyo: Trello, Figma, draw.io y Lucidchart para los diagramas, y herramientas de IA generativa como apoyo.</w:t>
            </w:r>
            <w:r w:rsidDel="00000000" w:rsidR="00000000" w:rsidRPr="00000000">
              <w:rPr>
                <w:rtl w:val="0"/>
              </w:rPr>
            </w:r>
          </w:p>
          <w:p w:rsidR="00000000" w:rsidDel="00000000" w:rsidP="00000000" w:rsidRDefault="00000000" w:rsidRPr="00000000" w14:paraId="00000045">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Dificultades</w:t>
            </w:r>
            <w:r w:rsidDel="00000000" w:rsidR="00000000" w:rsidRPr="00000000">
              <w:rPr>
                <w:rtl w:val="0"/>
              </w:rPr>
            </w:r>
          </w:p>
          <w:p w:rsidR="00000000" w:rsidDel="00000000" w:rsidP="00000000" w:rsidRDefault="00000000" w:rsidRPr="00000000" w14:paraId="00000046">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El Sprint 1 se centró en diseño y planificación, sin código, y su avance no quedó registrado en el tablero. Además, las tarjetas no tienen responsables ni fechas asignados formalmente.</w:t>
            </w:r>
            <w:r w:rsidDel="00000000" w:rsidR="00000000" w:rsidRPr="00000000">
              <w:rPr>
                <w:rtl w:val="0"/>
              </w:rPr>
            </w:r>
          </w:p>
          <w:p w:rsidR="00000000" w:rsidDel="00000000" w:rsidP="00000000" w:rsidRDefault="00000000" w:rsidRPr="00000000" w14:paraId="00000047">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La arquitectura inicial (Node.js y Express con patrón MVC) cambió a Supabase durante el desarrollo.</w:t>
            </w:r>
            <w:r w:rsidDel="00000000" w:rsidR="00000000" w:rsidRPr="00000000">
              <w:rPr>
                <w:rtl w:val="0"/>
              </w:rPr>
            </w:r>
          </w:p>
          <w:p w:rsidR="00000000" w:rsidDel="00000000" w:rsidP="00000000" w:rsidRDefault="00000000" w:rsidRPr="00000000" w14:paraId="00000048">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Cambiaron requisitos de las historias: la aceptación directa de tareas pasó a un flujo de postulación y aceptación, y la coordinación por chat interno pasó a WhatsApp.</w:t>
            </w:r>
            <w:r w:rsidDel="00000000" w:rsidR="00000000" w:rsidRPr="00000000">
              <w:rPr>
                <w:rtl w:val="0"/>
              </w:rPr>
            </w:r>
          </w:p>
          <w:p w:rsidR="00000000" w:rsidDel="00000000" w:rsidP="00000000" w:rsidRDefault="00000000" w:rsidRPr="00000000" w14:paraId="00000049">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El anexo del docente solicita Docker, pero la solución usa servicios gestionados en la nube (Supabase) y no tiene servidor propio.</w:t>
            </w:r>
            <w:r w:rsidDel="00000000" w:rsidR="00000000" w:rsidRPr="00000000">
              <w:rPr>
                <w:rtl w:val="0"/>
              </w:rPr>
            </w:r>
          </w:p>
          <w:p w:rsidR="00000000" w:rsidDel="00000000" w:rsidP="00000000" w:rsidRDefault="00000000" w:rsidRPr="00000000" w14:paraId="0000004A">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En esta fase algunas funciones tienen comportamiento simulado: el PIN de verificación en el inicio de sesión es un valor fijo de prueba y la compra de créditos está simulada. Además, la visualización en mapa aún no está integrada (la biblioteca react-native-maps está declarada, pero el listado de trabajos se muestra como lista con distancia y filtros).</w:t>
            </w:r>
            <w:r w:rsidDel="00000000" w:rsidR="00000000" w:rsidRPr="00000000">
              <w:rPr>
                <w:rtl w:val="0"/>
              </w:rPr>
            </w:r>
          </w:p>
          <w:p w:rsidR="00000000" w:rsidDel="00000000" w:rsidP="00000000" w:rsidRDefault="00000000" w:rsidRPr="00000000" w14:paraId="0000004B">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Ajustes realizados</w:t>
            </w:r>
            <w:r w:rsidDel="00000000" w:rsidR="00000000" w:rsidRPr="00000000">
              <w:rPr>
                <w:rtl w:val="0"/>
              </w:rPr>
            </w:r>
          </w:p>
          <w:p w:rsidR="00000000" w:rsidDel="00000000" w:rsidP="00000000" w:rsidRDefault="00000000" w:rsidRPr="00000000" w14:paraId="0000004C">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Se reorganizó el tablero con listas por estado y etiquetas por épica, y listas para actas, documentación, diagramas, mapa tecnológico, KPIs y riesgos. Lo desarrollado se registra en los comentarios de cada tarjeta, y en el Sprint Backlog cada historia indica quién la desarrolló («Desarrollado por»).</w:t>
            </w:r>
            <w:r w:rsidDel="00000000" w:rsidR="00000000" w:rsidRPr="00000000">
              <w:rPr>
                <w:rtl w:val="0"/>
              </w:rPr>
            </w:r>
          </w:p>
          <w:p w:rsidR="00000000" w:rsidDel="00000000" w:rsidP="00000000" w:rsidRDefault="00000000" w:rsidRPr="00000000" w14:paraId="0000004D">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Se actualizaron la arquitectura y el mapa tecnológico (diagramas almacenados en las tarjetas ARQUITECTURA y MAPA TECNOLOGICO, del 30-09) y la tarjeta Definición de tecnologías.</w:t>
            </w:r>
            <w:r w:rsidDel="00000000" w:rsidR="00000000" w:rsidRPr="00000000">
              <w:rPr>
                <w:rtl w:val="0"/>
              </w:rPr>
            </w:r>
          </w:p>
          <w:p w:rsidR="00000000" w:rsidDel="00000000" w:rsidP="00000000" w:rsidRDefault="00000000" w:rsidRPr="00000000" w14:paraId="0000004E">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Se actualizaron el Product Backlog (historias de aceptación y de coordinación), el Plan de Pruebas (CP-25 y CP-26), el requisito RNF-S11, el Sprint Backlog y las tarjetas de Trello correspondientes.</w:t>
            </w:r>
            <w:r w:rsidDel="00000000" w:rsidR="00000000" w:rsidRPr="00000000">
              <w:rPr>
                <w:rtl w:val="0"/>
              </w:rPr>
            </w:r>
          </w:p>
          <w:p w:rsidR="00000000" w:rsidDel="00000000" w:rsidP="00000000" w:rsidRDefault="00000000" w:rsidRPr="00000000" w14:paraId="0000004F">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Se decidió no construir Dockerfile ni docker-compose, y se explicó la decisión y su justificación en el Documento de Diseño.</w:t>
            </w:r>
            <w:r w:rsidDel="00000000" w:rsidR="00000000" w:rsidRPr="00000000">
              <w:rPr>
                <w:rtl w:val="0"/>
              </w:rPr>
            </w:r>
          </w:p>
          <w:p w:rsidR="00000000" w:rsidDel="00000000" w:rsidP="00000000" w:rsidRDefault="00000000" w:rsidRPr="00000000" w14:paraId="00000050">
            <w:pPr>
              <w:numPr>
                <w:ilvl w:val="0"/>
                <w:numId w:val="1"/>
              </w:numPr>
              <w:spacing w:after="50" w:before="0" w:line="259" w:lineRule="auto"/>
              <w:ind w:left="500" w:hanging="260"/>
              <w:jc w:val="both"/>
              <w:rPr/>
            </w:pPr>
            <w:r w:rsidDel="00000000" w:rsidR="00000000" w:rsidRPr="00000000">
              <w:rPr>
                <w:rFonts w:ascii="Calibri" w:cs="Calibri" w:eastAsia="Calibri" w:hAnsi="Calibri"/>
                <w:sz w:val="20"/>
                <w:szCs w:val="20"/>
                <w:rtl w:val="0"/>
              </w:rPr>
              <w:t xml:space="preserve">Las funciones simuladas se declaran como tales en la documentación, para no presentarlas como funcionalidad completa.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top"/>
          </w:tcPr>
          <w:p w:rsidR="00000000" w:rsidDel="00000000" w:rsidP="00000000" w:rsidRDefault="00000000" w:rsidRPr="00000000" w14:paraId="00000052">
            <w:pPr>
              <w:spacing w:after="80" w:before="0" w:line="259" w:lineRule="auto"/>
              <w:ind w:left="0" w:firstLine="0"/>
              <w:jc w:val="both"/>
              <w:rPr/>
            </w:pPr>
            <w:r w:rsidDel="00000000" w:rsidR="00000000" w:rsidRPr="00000000">
              <w:rPr>
                <w:rFonts w:ascii="Calibri" w:cs="Calibri" w:eastAsia="Calibri" w:hAnsi="Calibri"/>
                <w:sz w:val="20"/>
                <w:szCs w:val="20"/>
                <w:rtl w:val="0"/>
              </w:rPr>
              <w:t xml:space="preserve">Las evidencias se organizan según los tres ámbitos que exige la rúbrica: documentación, programación y almacenamiento de datos. Cada una indica qué demuestra y el espacio para adjuntarla.</w:t>
            </w:r>
            <w:r w:rsidDel="00000000" w:rsidR="00000000" w:rsidRPr="00000000">
              <w:rPr>
                <w:rtl w:val="0"/>
              </w:rPr>
            </w:r>
          </w:p>
          <w:p w:rsidR="00000000" w:rsidDel="00000000" w:rsidP="00000000" w:rsidRDefault="00000000" w:rsidRPr="00000000" w14:paraId="00000053">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A. Documentación</w:t>
            </w:r>
            <w:r w:rsidDel="00000000" w:rsidR="00000000" w:rsidRPr="00000000">
              <w:rPr>
                <w:rtl w:val="0"/>
              </w:rPr>
            </w:r>
          </w:p>
          <w:p w:rsidR="00000000" w:rsidDel="00000000" w:rsidP="00000000" w:rsidRDefault="00000000" w:rsidRPr="00000000" w14:paraId="00000054">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1: Product Vision y Product Backlog.</w:t>
            </w:r>
            <w:r w:rsidDel="00000000" w:rsidR="00000000" w:rsidRPr="00000000">
              <w:rPr>
                <w:rtl w:val="0"/>
              </w:rPr>
            </w:r>
          </w:p>
          <w:p w:rsidR="00000000" w:rsidDel="00000000" w:rsidP="00000000" w:rsidRDefault="00000000" w:rsidRPr="00000000" w14:paraId="00000055">
            <w:pPr>
              <w:spacing w:after="30" w:before="0" w:line="259" w:lineRule="auto"/>
              <w:ind w:left="0" w:firstLine="0"/>
              <w:jc w:val="both"/>
              <w:rPr>
                <w:sz w:val="20"/>
                <w:szCs w:val="20"/>
              </w:rPr>
            </w:pPr>
            <w:hyperlink r:id="rId8">
              <w:r w:rsidDel="00000000" w:rsidR="00000000" w:rsidRPr="00000000">
                <w:rPr>
                  <w:color w:val="1155cc"/>
                  <w:sz w:val="20"/>
                  <w:szCs w:val="20"/>
                  <w:u w:val="single"/>
                  <w:rtl w:val="0"/>
                </w:rPr>
                <w:t xml:space="preserve">Product vision</w:t>
              </w:r>
            </w:hyperlink>
            <w:r w:rsidDel="00000000" w:rsidR="00000000" w:rsidRPr="00000000">
              <w:rPr>
                <w:sz w:val="20"/>
                <w:szCs w:val="20"/>
                <w:rtl w:val="0"/>
              </w:rPr>
              <w:t xml:space="preserve"> </w:t>
            </w:r>
          </w:p>
          <w:p w:rsidR="00000000" w:rsidDel="00000000" w:rsidP="00000000" w:rsidRDefault="00000000" w:rsidRPr="00000000" w14:paraId="00000056">
            <w:pPr>
              <w:spacing w:after="30" w:before="0" w:line="259" w:lineRule="auto"/>
              <w:ind w:left="0" w:firstLine="0"/>
              <w:jc w:val="both"/>
              <w:rPr/>
            </w:pPr>
            <w:hyperlink r:id="rId9">
              <w:r w:rsidDel="00000000" w:rsidR="00000000" w:rsidRPr="00000000">
                <w:rPr>
                  <w:color w:val="1155cc"/>
                  <w:sz w:val="20"/>
                  <w:szCs w:val="20"/>
                  <w:u w:val="single"/>
                  <w:rtl w:val="0"/>
                </w:rPr>
                <w:t xml:space="preserve">Product Backlog</w:t>
              </w:r>
            </w:hyperlink>
            <w:r w:rsidDel="00000000" w:rsidR="00000000" w:rsidRPr="00000000">
              <w:rPr>
                <w:rtl w:val="0"/>
              </w:rPr>
            </w:r>
          </w:p>
          <w:p w:rsidR="00000000" w:rsidDel="00000000" w:rsidP="00000000" w:rsidRDefault="00000000" w:rsidRPr="00000000" w14:paraId="00000057">
            <w:pPr>
              <w:spacing w:after="30" w:before="0" w:line="259" w:lineRule="auto"/>
              <w:ind w:left="0" w:firstLine="0"/>
              <w:jc w:val="both"/>
              <w:rPr>
                <w:b w:val="1"/>
                <w:bCs w:val="1"/>
                <w:sz w:val="20"/>
                <w:szCs w:val="20"/>
              </w:rPr>
            </w:pPr>
            <w:r w:rsidDel="00000000" w:rsidR="00000000" w:rsidRPr="00000000">
              <w:rPr>
                <w:rFonts w:ascii="Calibri" w:cs="Calibri" w:eastAsia="Calibri" w:hAnsi="Calibri"/>
                <w:b w:val="1"/>
                <w:bCs w:val="1"/>
                <w:sz w:val="20"/>
                <w:szCs w:val="20"/>
                <w:rtl w:val="0"/>
              </w:rPr>
              <w:t xml:space="preserve">Evidencia 2: Sprint Backlog del Sprint 2.</w:t>
            </w:r>
            <w:r w:rsidDel="00000000" w:rsidR="00000000" w:rsidRPr="00000000">
              <w:rPr>
                <w:rtl w:val="0"/>
              </w:rPr>
            </w:r>
          </w:p>
          <w:p w:rsidR="00000000" w:rsidDel="00000000" w:rsidP="00000000" w:rsidRDefault="00000000" w:rsidRPr="00000000" w14:paraId="00000058">
            <w:pPr>
              <w:spacing w:after="30" w:before="0" w:line="259" w:lineRule="auto"/>
              <w:ind w:left="0" w:firstLine="0"/>
              <w:jc w:val="both"/>
              <w:rPr/>
            </w:pPr>
            <w:hyperlink r:id="rId10">
              <w:r w:rsidDel="00000000" w:rsidR="00000000" w:rsidRPr="00000000">
                <w:rPr>
                  <w:color w:val="1155cc"/>
                  <w:sz w:val="20"/>
                  <w:szCs w:val="20"/>
                  <w:u w:val="single"/>
                  <w:rtl w:val="0"/>
                </w:rPr>
                <w:t xml:space="preserve">Sprint Backlog</w:t>
              </w:r>
            </w:hyperlink>
            <w:r w:rsidDel="00000000" w:rsidR="00000000" w:rsidRPr="00000000">
              <w:rPr>
                <w:rtl w:val="0"/>
              </w:rPr>
            </w:r>
          </w:p>
          <w:p w:rsidR="00000000" w:rsidDel="00000000" w:rsidP="00000000" w:rsidRDefault="00000000" w:rsidRPr="00000000" w14:paraId="00000059">
            <w:pPr>
              <w:spacing w:after="30" w:before="0" w:line="259" w:lineRule="auto"/>
              <w:ind w:left="0" w:firstLine="0"/>
              <w:jc w:val="both"/>
              <w:rPr>
                <w:b w:val="1"/>
                <w:bCs w:val="1"/>
                <w:sz w:val="20"/>
                <w:szCs w:val="20"/>
              </w:rPr>
            </w:pPr>
            <w:r w:rsidDel="00000000" w:rsidR="00000000" w:rsidRPr="00000000">
              <w:rPr>
                <w:rFonts w:ascii="Calibri" w:cs="Calibri" w:eastAsia="Calibri" w:hAnsi="Calibri"/>
                <w:b w:val="1"/>
                <w:bCs w:val="1"/>
                <w:sz w:val="20"/>
                <w:szCs w:val="20"/>
                <w:rtl w:val="0"/>
              </w:rPr>
              <w:t xml:space="preserve">Evidencia 3: Definition of Done.</w:t>
            </w:r>
            <w:r w:rsidDel="00000000" w:rsidR="00000000" w:rsidRPr="00000000">
              <w:rPr>
                <w:rtl w:val="0"/>
              </w:rPr>
            </w:r>
          </w:p>
          <w:p w:rsidR="00000000" w:rsidDel="00000000" w:rsidP="00000000" w:rsidRDefault="00000000" w:rsidRPr="00000000" w14:paraId="0000005A">
            <w:pPr>
              <w:spacing w:after="30" w:before="0" w:line="259" w:lineRule="auto"/>
              <w:ind w:left="0" w:firstLine="0"/>
              <w:jc w:val="both"/>
              <w:rPr/>
            </w:pPr>
            <w:hyperlink r:id="rId11">
              <w:r w:rsidDel="00000000" w:rsidR="00000000" w:rsidRPr="00000000">
                <w:rPr>
                  <w:color w:val="1155cc"/>
                  <w:sz w:val="20"/>
                  <w:szCs w:val="20"/>
                  <w:u w:val="single"/>
                  <w:rtl w:val="0"/>
                </w:rPr>
                <w:t xml:space="preserve">Definition of Done</w:t>
              </w:r>
            </w:hyperlink>
            <w:r w:rsidDel="00000000" w:rsidR="00000000" w:rsidRPr="00000000">
              <w:rPr>
                <w:rtl w:val="0"/>
              </w:rPr>
            </w:r>
          </w:p>
          <w:p w:rsidR="00000000" w:rsidDel="00000000" w:rsidP="00000000" w:rsidRDefault="00000000" w:rsidRPr="00000000" w14:paraId="0000005B">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4: Requisitos no funcionales y Plan de Pruebas. </w:t>
            </w:r>
            <w:r w:rsidDel="00000000" w:rsidR="00000000" w:rsidRPr="00000000">
              <w:rPr>
                <w:rtl w:val="0"/>
              </w:rPr>
            </w:r>
          </w:p>
          <w:p w:rsidR="00000000" w:rsidDel="00000000" w:rsidP="00000000" w:rsidRDefault="00000000" w:rsidRPr="00000000" w14:paraId="0000005C">
            <w:pPr>
              <w:spacing w:after="30" w:before="0" w:line="259" w:lineRule="auto"/>
              <w:ind w:left="0" w:firstLine="0"/>
              <w:jc w:val="both"/>
              <w:rPr/>
            </w:pPr>
            <w:hyperlink r:id="rId12">
              <w:r w:rsidDel="00000000" w:rsidR="00000000" w:rsidRPr="00000000">
                <w:rPr>
                  <w:color w:val="1155cc"/>
                  <w:u w:val="single"/>
                  <w:rtl w:val="0"/>
                </w:rPr>
                <w:t xml:space="preserve">Requisitos no funcionales</w:t>
              </w:r>
            </w:hyperlink>
            <w:r w:rsidDel="00000000" w:rsidR="00000000" w:rsidRPr="00000000">
              <w:rPr>
                <w:rtl w:val="0"/>
              </w:rPr>
            </w:r>
          </w:p>
          <w:p w:rsidR="00000000" w:rsidDel="00000000" w:rsidP="00000000" w:rsidRDefault="00000000" w:rsidRPr="00000000" w14:paraId="0000005D">
            <w:pPr>
              <w:spacing w:after="30" w:before="0" w:line="259" w:lineRule="auto"/>
              <w:ind w:left="0" w:firstLine="0"/>
              <w:jc w:val="both"/>
              <w:rPr>
                <w:sz w:val="20"/>
                <w:szCs w:val="20"/>
                <w:highlight w:val="yellow"/>
              </w:rPr>
            </w:pPr>
            <w:r w:rsidDel="00000000" w:rsidR="00000000" w:rsidRPr="00000000">
              <w:rPr>
                <w:rtl w:val="0"/>
              </w:rPr>
              <w:t xml:space="preserve">Plan de pruebas</w:t>
            </w:r>
            <w:r w:rsidDel="00000000" w:rsidR="00000000" w:rsidRPr="00000000">
              <w:rPr>
                <w:rtl w:val="0"/>
              </w:rPr>
            </w:r>
          </w:p>
          <w:p w:rsidR="00000000" w:rsidDel="00000000" w:rsidP="00000000" w:rsidRDefault="00000000" w:rsidRPr="00000000" w14:paraId="0000005E">
            <w:pPr>
              <w:spacing w:after="30" w:before="0" w:line="259" w:lineRule="auto"/>
              <w:ind w:left="0" w:firstLine="0"/>
              <w:jc w:val="both"/>
              <w:rPr>
                <w:b w:val="1"/>
                <w:bCs w:val="1"/>
                <w:sz w:val="20"/>
                <w:szCs w:val="20"/>
              </w:rPr>
            </w:pPr>
            <w:r w:rsidDel="00000000" w:rsidR="00000000" w:rsidRPr="00000000">
              <w:rPr>
                <w:rFonts w:ascii="Calibri" w:cs="Calibri" w:eastAsia="Calibri" w:hAnsi="Calibri"/>
                <w:b w:val="1"/>
                <w:bCs w:val="1"/>
                <w:sz w:val="20"/>
                <w:szCs w:val="20"/>
                <w:rtl w:val="0"/>
              </w:rPr>
              <w:t xml:space="preserve">Evidencia 5: Documento de Diseño.</w:t>
            </w:r>
            <w:r w:rsidDel="00000000" w:rsidR="00000000" w:rsidRPr="00000000">
              <w:rPr>
                <w:rtl w:val="0"/>
              </w:rPr>
            </w:r>
          </w:p>
          <w:p w:rsidR="00000000" w:rsidDel="00000000" w:rsidP="00000000" w:rsidRDefault="00000000" w:rsidRPr="00000000" w14:paraId="0000005F">
            <w:pPr>
              <w:spacing w:after="30" w:before="0" w:line="259" w:lineRule="auto"/>
              <w:ind w:left="0" w:firstLine="0"/>
              <w:jc w:val="both"/>
              <w:rPr/>
            </w:pPr>
            <w:hyperlink r:id="rId13">
              <w:r w:rsidDel="00000000" w:rsidR="00000000" w:rsidRPr="00000000">
                <w:rPr>
                  <w:color w:val="1155cc"/>
                  <w:sz w:val="20"/>
                  <w:szCs w:val="20"/>
                  <w:u w:val="single"/>
                  <w:rtl w:val="0"/>
                </w:rPr>
                <w:t xml:space="preserve">Documento de Diseño</w:t>
              </w:r>
            </w:hyperlink>
            <w:r w:rsidDel="00000000" w:rsidR="00000000" w:rsidRPr="00000000">
              <w:rPr>
                <w:rtl w:val="0"/>
              </w:rPr>
            </w:r>
          </w:p>
          <w:p w:rsidR="00000000" w:rsidDel="00000000" w:rsidP="00000000" w:rsidRDefault="00000000" w:rsidRPr="00000000" w14:paraId="00000060">
            <w:pPr>
              <w:spacing w:after="30" w:before="0" w:line="259" w:lineRule="auto"/>
              <w:ind w:left="0" w:firstLine="0"/>
              <w:jc w:val="both"/>
              <w:rPr>
                <w:b w:val="1"/>
                <w:bCs w:val="1"/>
                <w:sz w:val="20"/>
                <w:szCs w:val="20"/>
              </w:rPr>
            </w:pPr>
            <w:r w:rsidDel="00000000" w:rsidR="00000000" w:rsidRPr="00000000">
              <w:rPr>
                <w:rFonts w:ascii="Calibri" w:cs="Calibri" w:eastAsia="Calibri" w:hAnsi="Calibri"/>
                <w:b w:val="1"/>
                <w:bCs w:val="1"/>
                <w:sz w:val="20"/>
                <w:szCs w:val="20"/>
                <w:rtl w:val="0"/>
              </w:rPr>
              <w:t xml:space="preserve">Evidencia 6: </w:t>
            </w:r>
            <w:hyperlink r:id="rId14">
              <w:r w:rsidDel="00000000" w:rsidR="00000000" w:rsidRPr="00000000">
                <w:rPr>
                  <w:rFonts w:ascii="Calibri" w:cs="Calibri" w:eastAsia="Calibri" w:hAnsi="Calibri"/>
                  <w:b w:val="1"/>
                  <w:bCs w:val="1"/>
                  <w:color w:val="1155cc"/>
                  <w:sz w:val="20"/>
                  <w:szCs w:val="20"/>
                  <w:u w:val="single"/>
                  <w:rtl w:val="0"/>
                </w:rPr>
                <w:t xml:space="preserve">Diagrama de arquitectura y de componentes</w:t>
              </w:r>
            </w:hyperlink>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61">
            <w:pPr>
              <w:spacing w:after="30" w:before="0" w:line="259" w:lineRule="auto"/>
              <w:ind w:left="0" w:firstLine="0"/>
              <w:jc w:val="both"/>
              <w:rPr>
                <w:b w:val="1"/>
                <w:bCs w:val="1"/>
                <w:sz w:val="20"/>
                <w:szCs w:val="20"/>
              </w:rPr>
            </w:pPr>
            <w:r w:rsidDel="00000000" w:rsidR="00000000" w:rsidRPr="00000000">
              <w:rPr>
                <w:rFonts w:ascii="Calibri" w:cs="Calibri" w:eastAsia="Calibri" w:hAnsi="Calibri"/>
                <w:b w:val="1"/>
                <w:bCs w:val="1"/>
                <w:sz w:val="20"/>
                <w:szCs w:val="20"/>
                <w:rtl w:val="0"/>
              </w:rPr>
              <w:t xml:space="preserve">Evidencia 7: </w:t>
            </w:r>
            <w:hyperlink r:id="rId15">
              <w:r w:rsidDel="00000000" w:rsidR="00000000" w:rsidRPr="00000000">
                <w:rPr>
                  <w:rFonts w:ascii="Calibri" w:cs="Calibri" w:eastAsia="Calibri" w:hAnsi="Calibri"/>
                  <w:b w:val="1"/>
                  <w:bCs w:val="1"/>
                  <w:color w:val="1155cc"/>
                  <w:sz w:val="20"/>
                  <w:szCs w:val="20"/>
                  <w:u w:val="single"/>
                  <w:rtl w:val="0"/>
                </w:rPr>
                <w:t xml:space="preserve">Diagramas de casos de uso (4 épicas</w:t>
              </w:r>
            </w:hyperlink>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62">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8: </w:t>
            </w:r>
            <w:hyperlink r:id="rId16">
              <w:r w:rsidDel="00000000" w:rsidR="00000000" w:rsidRPr="00000000">
                <w:rPr>
                  <w:rFonts w:ascii="Calibri" w:cs="Calibri" w:eastAsia="Calibri" w:hAnsi="Calibri"/>
                  <w:b w:val="1"/>
                  <w:bCs w:val="1"/>
                  <w:color w:val="1155cc"/>
                  <w:sz w:val="20"/>
                  <w:szCs w:val="20"/>
                  <w:u w:val="single"/>
                  <w:rtl w:val="0"/>
                </w:rPr>
                <w:t xml:space="preserve">Modelo de datos (ER) y diagrama de clases.</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63">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9: </w:t>
            </w:r>
            <w:hyperlink r:id="rId17">
              <w:r w:rsidDel="00000000" w:rsidR="00000000" w:rsidRPr="00000000">
                <w:rPr>
                  <w:rFonts w:ascii="Calibri" w:cs="Calibri" w:eastAsia="Calibri" w:hAnsi="Calibri"/>
                  <w:b w:val="1"/>
                  <w:bCs w:val="1"/>
                  <w:color w:val="1155cc"/>
                  <w:sz w:val="20"/>
                  <w:szCs w:val="20"/>
                  <w:u w:val="single"/>
                  <w:rtl w:val="0"/>
                </w:rPr>
                <w:t xml:space="preserve">Diagramas de secuencia</w:t>
              </w:r>
            </w:hyperlink>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64">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10: </w:t>
            </w:r>
            <w:hyperlink r:id="rId18">
              <w:r w:rsidDel="00000000" w:rsidR="00000000" w:rsidRPr="00000000">
                <w:rPr>
                  <w:rFonts w:ascii="Calibri" w:cs="Calibri" w:eastAsia="Calibri" w:hAnsi="Calibri"/>
                  <w:b w:val="1"/>
                  <w:bCs w:val="1"/>
                  <w:color w:val="1155cc"/>
                  <w:sz w:val="20"/>
                  <w:szCs w:val="20"/>
                  <w:u w:val="single"/>
                  <w:rtl w:val="0"/>
                </w:rPr>
                <w:t xml:space="preserve">README del repositorio</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65">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11: Sección de innovación. </w:t>
            </w:r>
            <w:r w:rsidDel="00000000" w:rsidR="00000000" w:rsidRPr="00000000">
              <w:rPr>
                <w:rtl w:val="0"/>
              </w:rPr>
            </w:r>
          </w:p>
          <w:p w:rsidR="00000000" w:rsidDel="00000000" w:rsidP="00000000" w:rsidRDefault="00000000" w:rsidRPr="00000000" w14:paraId="00000066">
            <w:pPr>
              <w:spacing w:after="30" w:before="0" w:line="259" w:lineRule="auto"/>
              <w:ind w:left="0" w:firstLine="0"/>
              <w:jc w:val="both"/>
              <w:rPr>
                <w:sz w:val="20"/>
                <w:szCs w:val="20"/>
              </w:rPr>
            </w:pPr>
            <w:r w:rsidDel="00000000" w:rsidR="00000000" w:rsidRPr="00000000">
              <w:rPr>
                <w:rFonts w:ascii="Calibri" w:cs="Calibri" w:eastAsia="Calibri" w:hAnsi="Calibri"/>
                <w:b w:val="1"/>
                <w:bCs w:val="1"/>
                <w:sz w:val="20"/>
                <w:szCs w:val="20"/>
                <w:rtl w:val="0"/>
              </w:rPr>
              <w:t xml:space="preserve">Evidencia 12: </w:t>
            </w:r>
            <w:hyperlink r:id="rId19">
              <w:r w:rsidDel="00000000" w:rsidR="00000000" w:rsidRPr="00000000">
                <w:rPr>
                  <w:rFonts w:ascii="Calibri" w:cs="Calibri" w:eastAsia="Calibri" w:hAnsi="Calibri"/>
                  <w:b w:val="1"/>
                  <w:bCs w:val="1"/>
                  <w:color w:val="1155cc"/>
                  <w:sz w:val="20"/>
                  <w:szCs w:val="20"/>
                  <w:u w:val="single"/>
                  <w:rtl w:val="0"/>
                </w:rPr>
                <w:t xml:space="preserve">Gestión del proyecto en Trello. </w:t>
              </w:r>
            </w:hyperlink>
            <w:r w:rsidDel="00000000" w:rsidR="00000000" w:rsidRPr="00000000">
              <w:rPr>
                <w:rtl w:val="0"/>
              </w:rPr>
            </w:r>
          </w:p>
          <w:p w:rsidR="00000000" w:rsidDel="00000000" w:rsidP="00000000" w:rsidRDefault="00000000" w:rsidRPr="00000000" w14:paraId="00000067">
            <w:pPr>
              <w:spacing w:after="30" w:before="0" w:line="259" w:lineRule="auto"/>
              <w:ind w:left="0" w:firstLine="0"/>
              <w:jc w:val="both"/>
              <w:rPr/>
            </w:pPr>
            <w:r w:rsidDel="00000000" w:rsidR="00000000" w:rsidRPr="00000000">
              <w:rPr>
                <w:rFonts w:ascii="Calibri" w:cs="Calibri" w:eastAsia="Calibri" w:hAnsi="Calibri"/>
                <w:b w:val="1"/>
                <w:bCs w:val="1"/>
                <w:sz w:val="20"/>
                <w:szCs w:val="20"/>
                <w:rtl w:val="0"/>
              </w:rPr>
              <w:t xml:space="preserve">Evidencia 13: </w:t>
            </w:r>
            <w:hyperlink r:id="rId20">
              <w:r w:rsidDel="00000000" w:rsidR="00000000" w:rsidRPr="00000000">
                <w:rPr>
                  <w:rFonts w:ascii="Calibri" w:cs="Calibri" w:eastAsia="Calibri" w:hAnsi="Calibri"/>
                  <w:b w:val="1"/>
                  <w:bCs w:val="1"/>
                  <w:color w:val="1155cc"/>
                  <w:sz w:val="20"/>
                  <w:szCs w:val="20"/>
                  <w:u w:val="single"/>
                  <w:rtl w:val="0"/>
                </w:rPr>
                <w:t xml:space="preserve">Planillas de KPIs y de riesgos, Modelo Canvas y mockup. </w:t>
              </w:r>
            </w:hyperlink>
            <w:r w:rsidDel="00000000" w:rsidR="00000000" w:rsidRPr="00000000">
              <w:rPr>
                <w:rtl w:val="0"/>
              </w:rPr>
            </w:r>
          </w:p>
          <w:p w:rsidR="00000000" w:rsidDel="00000000" w:rsidP="00000000" w:rsidRDefault="00000000" w:rsidRPr="00000000" w14:paraId="00000068">
            <w:pPr>
              <w:spacing w:after="30" w:before="0" w:line="259" w:lineRule="auto"/>
              <w:ind w:left="0" w:firstLine="0"/>
              <w:jc w:val="both"/>
              <w:rPr>
                <w:b w:val="1"/>
                <w:bCs w:val="1"/>
                <w:sz w:val="20"/>
                <w:szCs w:val="20"/>
              </w:rPr>
            </w:pPr>
            <w:r w:rsidDel="00000000" w:rsidR="00000000" w:rsidRPr="00000000">
              <w:rPr>
                <w:rFonts w:ascii="Calibri" w:cs="Calibri" w:eastAsia="Calibri" w:hAnsi="Calibri"/>
                <w:b w:val="1"/>
                <w:bCs w:val="1"/>
                <w:sz w:val="20"/>
                <w:szCs w:val="20"/>
                <w:rtl w:val="0"/>
              </w:rPr>
              <w:t xml:space="preserve">Evidencia 14: </w:t>
            </w:r>
            <w:hyperlink r:id="rId21">
              <w:r w:rsidDel="00000000" w:rsidR="00000000" w:rsidRPr="00000000">
                <w:rPr>
                  <w:rFonts w:ascii="Calibri" w:cs="Calibri" w:eastAsia="Calibri" w:hAnsi="Calibri"/>
                  <w:b w:val="1"/>
                  <w:bCs w:val="1"/>
                  <w:color w:val="1155cc"/>
                  <w:sz w:val="20"/>
                  <w:szCs w:val="20"/>
                  <w:u w:val="single"/>
                  <w:rtl w:val="0"/>
                </w:rPr>
                <w:t xml:space="preserve">Evidencia de retrospectiva del Sprint 2</w:t>
              </w:r>
            </w:hyperlink>
            <w:r w:rsidDel="00000000" w:rsidR="00000000" w:rsidRPr="00000000">
              <w:rPr>
                <w:rtl w:val="0"/>
              </w:rPr>
            </w:r>
          </w:p>
          <w:p w:rsidR="00000000" w:rsidDel="00000000" w:rsidP="00000000" w:rsidRDefault="00000000" w:rsidRPr="00000000" w14:paraId="00000069">
            <w:pPr>
              <w:spacing w:after="30" w:before="0" w:line="259" w:lineRule="auto"/>
              <w:ind w:left="0" w:firstLine="0"/>
              <w:jc w:val="both"/>
              <w:rPr/>
            </w:pPr>
            <w:r w:rsidDel="00000000" w:rsidR="00000000" w:rsidRPr="00000000">
              <w:rPr>
                <w:rtl w:val="0"/>
              </w:rPr>
            </w:r>
          </w:p>
          <w:p w:rsidR="00000000" w:rsidDel="00000000" w:rsidP="00000000" w:rsidRDefault="00000000" w:rsidRPr="00000000" w14:paraId="0000006A">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B. Programación</w:t>
            </w:r>
            <w:r w:rsidDel="00000000" w:rsidR="00000000" w:rsidRPr="00000000">
              <w:rPr>
                <w:rtl w:val="0"/>
              </w:rPr>
            </w:r>
          </w:p>
          <w:p w:rsidR="00000000" w:rsidDel="00000000" w:rsidP="00000000" w:rsidRDefault="00000000" w:rsidRPr="00000000" w14:paraId="0000006B">
            <w:pPr>
              <w:spacing w:after="30" w:before="0" w:line="259" w:lineRule="auto"/>
              <w:ind w:left="0" w:firstLine="0"/>
              <w:jc w:val="both"/>
              <w:rPr/>
            </w:pPr>
            <w:r w:rsidDel="00000000" w:rsidR="00000000" w:rsidRPr="00000000">
              <w:rPr>
                <w:rFonts w:ascii="Calibri" w:cs="Calibri" w:eastAsia="Calibri" w:hAnsi="Calibri"/>
                <w:b w:val="1"/>
                <w:bCs w:val="1"/>
                <w:sz w:val="20"/>
                <w:szCs w:val="20"/>
                <w:rtl w:val="0"/>
              </w:rPr>
              <w:t xml:space="preserve">Evidencia 15: </w:t>
            </w:r>
            <w:hyperlink r:id="rId22">
              <w:r w:rsidDel="00000000" w:rsidR="00000000" w:rsidRPr="00000000">
                <w:rPr>
                  <w:rFonts w:ascii="Calibri" w:cs="Calibri" w:eastAsia="Calibri" w:hAnsi="Calibri"/>
                  <w:b w:val="1"/>
                  <w:bCs w:val="1"/>
                  <w:color w:val="1155cc"/>
                  <w:sz w:val="20"/>
                  <w:szCs w:val="20"/>
                  <w:u w:val="single"/>
                  <w:rtl w:val="0"/>
                </w:rPr>
                <w:t xml:space="preserve">Repositorio Git del proyecto.</w:t>
              </w:r>
            </w:hyperlink>
            <w:r w:rsidDel="00000000" w:rsidR="00000000" w:rsidRPr="00000000">
              <w:rPr>
                <w:rtl w:val="0"/>
              </w:rPr>
            </w:r>
          </w:p>
          <w:p w:rsidR="00000000" w:rsidDel="00000000" w:rsidP="00000000" w:rsidRDefault="00000000" w:rsidRPr="00000000" w14:paraId="0000006C">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C. Almacenamiento de datos</w:t>
            </w:r>
            <w:r w:rsidDel="00000000" w:rsidR="00000000" w:rsidRPr="00000000">
              <w:rPr>
                <w:rtl w:val="0"/>
              </w:rPr>
            </w:r>
          </w:p>
          <w:p w:rsidR="00000000" w:rsidDel="00000000" w:rsidP="00000000" w:rsidRDefault="00000000" w:rsidRPr="00000000" w14:paraId="0000006D">
            <w:pPr>
              <w:spacing w:after="30" w:before="0" w:line="259" w:lineRule="auto"/>
              <w:ind w:left="0" w:firstLine="0"/>
              <w:jc w:val="both"/>
              <w:rPr/>
            </w:pPr>
            <w:hyperlink r:id="rId23">
              <w:r w:rsidDel="00000000" w:rsidR="00000000" w:rsidRPr="00000000">
                <w:rPr>
                  <w:rFonts w:ascii="Calibri" w:cs="Calibri" w:eastAsia="Calibri" w:hAnsi="Calibri"/>
                  <w:b w:val="1"/>
                  <w:bCs w:val="1"/>
                  <w:color w:val="1155cc"/>
                  <w:sz w:val="20"/>
                  <w:szCs w:val="20"/>
                  <w:u w:val="single"/>
                  <w:rtl w:val="0"/>
                </w:rPr>
                <w:t xml:space="preserve">Evidencia 18: Esquema de la base de datos en Supabase.</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top"/>
          </w:tcPr>
          <w:p w:rsidR="00000000" w:rsidDel="00000000" w:rsidP="00000000" w:rsidRDefault="00000000" w:rsidRPr="00000000" w14:paraId="0000006F">
            <w:pPr>
              <w:keepNext w:val="1"/>
              <w:spacing w:after="60" w:before="0" w:line="259" w:lineRule="auto"/>
              <w:ind w:left="0" w:firstLine="0"/>
              <w:jc w:val="left"/>
              <w:rPr/>
            </w:pPr>
            <w:r w:rsidDel="00000000" w:rsidR="00000000" w:rsidRPr="00000000">
              <w:rPr>
                <w:rFonts w:ascii="Calibri" w:cs="Calibri" w:eastAsia="Calibri" w:hAnsi="Calibri"/>
                <w:b w:val="1"/>
                <w:bCs w:val="1"/>
                <w:color w:val="1f3864"/>
                <w:sz w:val="21"/>
                <w:szCs w:val="21"/>
                <w:rtl w:val="0"/>
              </w:rPr>
              <w:t xml:space="preserve">Aporte del proyecto a mis intereses profesionales</w:t>
            </w:r>
            <w:r w:rsidDel="00000000" w:rsidR="00000000" w:rsidRPr="00000000">
              <w:rPr>
                <w:rtl w:val="0"/>
              </w:rPr>
            </w:r>
          </w:p>
          <w:p w:rsidR="00000000" w:rsidDel="00000000" w:rsidP="00000000" w:rsidRDefault="00000000" w:rsidRPr="00000000" w14:paraId="00000070">
            <w:pPr>
              <w:spacing w:after="80" w:before="0" w:line="259"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proyecto asumí la gestión del proyecto (Scrum Master) y la documentación del equipo. Esto incluyó organizar el tablero de Trello, proponer el plan de la reunión de planificación del Sprint 2, y elaborar y mantener el Product Backlog, el Sprint Backlog, la Definition of Done, los requisitos no funcionales, el plan de pruebas, el modelo de datos, los diagramas y el Documento de Diseño.</w:t>
            </w:r>
          </w:p>
          <w:p w:rsidR="00000000" w:rsidDel="00000000" w:rsidP="00000000" w:rsidRDefault="00000000" w:rsidRPr="00000000" w14:paraId="00000071">
            <w:pPr>
              <w:spacing w:after="80" w:before="0" w:line="259" w:lineRule="auto"/>
              <w:ind w:left="0" w:firstLine="0"/>
              <w:jc w:val="both"/>
              <w:rPr/>
            </w:pPr>
            <w:r w:rsidDel="00000000" w:rsidR="00000000" w:rsidRPr="00000000">
              <w:rPr>
                <w:sz w:val="20"/>
                <w:szCs w:val="20"/>
                <w:rtl w:val="0"/>
              </w:rPr>
              <w:t xml:space="preserve">Apesar de todo , mis interes siempre han estados ligados fuera del área informática, aun se mantienen asi y creo que seguirán de esa manera</w:t>
            </w:r>
            <w:r w:rsidDel="00000000" w:rsidR="00000000" w:rsidRPr="00000000">
              <w:rPr>
                <w:rtl w:val="0"/>
              </w:rPr>
            </w:r>
          </w:p>
          <w:p w:rsidR="00000000" w:rsidDel="00000000" w:rsidP="00000000" w:rsidRDefault="00000000" w:rsidRPr="00000000" w14:paraId="00000072">
            <w:pPr>
              <w:keepNext w:val="1"/>
              <w:spacing w:after="60" w:before="0" w:line="259" w:lineRule="auto"/>
              <w:ind w:left="0" w:firstLine="0"/>
              <w:jc w:val="left"/>
              <w:rPr>
                <w:b w:val="1"/>
                <w:bCs w:val="1"/>
                <w:color w:val="1f3864"/>
                <w:sz w:val="21"/>
                <w:szCs w:val="21"/>
              </w:rPr>
            </w:pPr>
            <w:r w:rsidDel="00000000" w:rsidR="00000000" w:rsidRPr="00000000">
              <w:rPr>
                <w:rFonts w:ascii="Calibri" w:cs="Calibri" w:eastAsia="Calibri" w:hAnsi="Calibri"/>
                <w:b w:val="1"/>
                <w:bCs w:val="1"/>
                <w:color w:val="1f3864"/>
                <w:sz w:val="21"/>
                <w:szCs w:val="21"/>
                <w:rtl w:val="0"/>
              </w:rPr>
              <w:t xml:space="preserve">Proyecciones laborales</w:t>
            </w:r>
            <w:r w:rsidDel="00000000" w:rsidR="00000000" w:rsidRPr="00000000">
              <w:rPr>
                <w:rtl w:val="0"/>
              </w:rPr>
            </w:r>
          </w:p>
          <w:p w:rsidR="00000000" w:rsidDel="00000000" w:rsidP="00000000" w:rsidRDefault="00000000" w:rsidRPr="00000000" w14:paraId="00000073">
            <w:pPr>
              <w:spacing w:after="80" w:before="0" w:line="259" w:lineRule="auto"/>
              <w:ind w:left="0" w:firstLine="0"/>
              <w:jc w:val="both"/>
              <w:rPr/>
            </w:pPr>
            <w:r w:rsidDel="00000000" w:rsidR="00000000" w:rsidRPr="00000000">
              <w:rPr>
                <w:rtl w:val="0"/>
              </w:rPr>
              <w:t xml:space="preserve">La verdad mis intereses son en la música , asi que si es un proyecto musical con gestión me interesa bastante</w:t>
            </w:r>
            <w:r w:rsidDel="00000000" w:rsidR="00000000" w:rsidRPr="00000000">
              <w:rPr>
                <w:rtl w:val="0"/>
              </w:rPr>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1"/>
        <w:spacing w:after="100" w:before="0" w:line="259" w:lineRule="auto"/>
        <w:ind w:left="0" w:firstLine="0"/>
        <w:jc w:val="left"/>
        <w:rPr/>
      </w:pPr>
      <w:r w:rsidDel="00000000" w:rsidR="00000000" w:rsidRPr="00000000">
        <w:rPr>
          <w:rFonts w:ascii="Calibri" w:cs="Calibri" w:eastAsia="Calibri" w:hAnsi="Calibri"/>
          <w:b w:val="1"/>
          <w:bCs w:val="1"/>
          <w:color w:val="1f3864"/>
          <w:sz w:val="24"/>
          <w:szCs w:val="24"/>
          <w:rtl w:val="0"/>
        </w:rPr>
        <w:t xml:space="preserve">Referencias</w:t>
      </w:r>
      <w:r w:rsidDel="00000000" w:rsidR="00000000" w:rsidRPr="00000000">
        <w:rPr>
          <w:rtl w:val="0"/>
        </w:rPr>
      </w:r>
    </w:p>
    <w:p w:rsidR="00000000" w:rsidDel="00000000" w:rsidP="00000000" w:rsidRDefault="00000000" w:rsidRPr="00000000" w14:paraId="00000079">
      <w:pPr>
        <w:spacing w:after="80" w:before="0" w:line="259" w:lineRule="auto"/>
        <w:ind w:left="567" w:hanging="567"/>
        <w:jc w:val="both"/>
        <w:rPr/>
      </w:pPr>
      <w:r w:rsidDel="00000000" w:rsidR="00000000" w:rsidRPr="00000000">
        <w:rPr>
          <w:rFonts w:ascii="Calibri" w:cs="Calibri" w:eastAsia="Calibri" w:hAnsi="Calibri"/>
          <w:sz w:val="20"/>
          <w:szCs w:val="20"/>
          <w:rtl w:val="0"/>
        </w:rPr>
        <w:t xml:space="preserve">Schwaber, K., &amp; Sutherland, J. (2020). </w:t>
      </w:r>
      <w:r w:rsidDel="00000000" w:rsidR="00000000" w:rsidRPr="00000000">
        <w:rPr>
          <w:rFonts w:ascii="Calibri" w:cs="Calibri" w:eastAsia="Calibri" w:hAnsi="Calibri"/>
          <w:i w:val="1"/>
          <w:iCs w:val="1"/>
          <w:sz w:val="20"/>
          <w:szCs w:val="20"/>
          <w:rtl w:val="0"/>
        </w:rPr>
        <w:t xml:space="preserve">La Guía de Scrum: La guía definitiva de Scrum: Las reglas del juego</w:t>
      </w:r>
      <w:r w:rsidDel="00000000" w:rsidR="00000000" w:rsidRPr="00000000">
        <w:rPr>
          <w:rFonts w:ascii="Calibri" w:cs="Calibri" w:eastAsia="Calibri" w:hAnsi="Calibri"/>
          <w:sz w:val="20"/>
          <w:szCs w:val="20"/>
          <w:rtl w:val="0"/>
        </w:rPr>
        <w:t xml:space="preserve">. https://scrumguides.org/</w:t>
      </w:r>
      <w:r w:rsidDel="00000000" w:rsidR="00000000" w:rsidRPr="00000000">
        <w:rPr>
          <w:rtl w:val="0"/>
        </w:rPr>
      </w:r>
    </w:p>
    <w:p w:rsidR="00000000" w:rsidDel="00000000" w:rsidP="00000000" w:rsidRDefault="00000000" w:rsidRPr="00000000" w14:paraId="0000007A">
      <w:pPr>
        <w:spacing w:after="80" w:before="0" w:line="259" w:lineRule="auto"/>
        <w:ind w:left="567" w:hanging="567"/>
        <w:jc w:val="both"/>
        <w:rPr/>
      </w:pPr>
      <w:r w:rsidDel="00000000" w:rsidR="00000000" w:rsidRPr="00000000">
        <w:rPr>
          <w:rFonts w:ascii="Calibri" w:cs="Calibri" w:eastAsia="Calibri" w:hAnsi="Calibri"/>
          <w:sz w:val="20"/>
          <w:szCs w:val="20"/>
          <w:rtl w:val="0"/>
        </w:rPr>
        <w:t xml:space="preserve">Supabase. (s. f.). </w:t>
      </w:r>
      <w:r w:rsidDel="00000000" w:rsidR="00000000" w:rsidRPr="00000000">
        <w:rPr>
          <w:rFonts w:ascii="Calibri" w:cs="Calibri" w:eastAsia="Calibri" w:hAnsi="Calibri"/>
          <w:i w:val="1"/>
          <w:iCs w:val="1"/>
          <w:sz w:val="20"/>
          <w:szCs w:val="20"/>
          <w:rtl w:val="0"/>
        </w:rPr>
        <w:t xml:space="preserve">Supabase documentation</w:t>
      </w:r>
      <w:r w:rsidDel="00000000" w:rsidR="00000000" w:rsidRPr="00000000">
        <w:rPr>
          <w:rFonts w:ascii="Calibri" w:cs="Calibri" w:eastAsia="Calibri" w:hAnsi="Calibri"/>
          <w:sz w:val="20"/>
          <w:szCs w:val="20"/>
          <w:rtl w:val="0"/>
        </w:rPr>
        <w:t xml:space="preserve">. https://supabase.com/docs</w:t>
      </w:r>
      <w:r w:rsidDel="00000000" w:rsidR="00000000" w:rsidRPr="00000000">
        <w:rPr>
          <w:rtl w:val="0"/>
        </w:rPr>
      </w:r>
    </w:p>
    <w:sectPr>
      <w:headerReference r:id="rId2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ello.com/invite/b/6a8c885ea9e6b7d3ae15cf8c/ATTI5d62256d12949854e4953502d4ca1b868B048740/capstone" TargetMode="External"/><Relationship Id="rId11" Type="http://schemas.openxmlformats.org/officeDocument/2006/relationships/hyperlink" Target="https://docs.google.com/document/d/1Y1Pel_NSx9m3X0bYIN6H_FXTFGIVN2c9/edit?usp=drive_link&amp;ouid=109529928437141960776&amp;rtpof=true&amp;sd=true" TargetMode="External"/><Relationship Id="rId22" Type="http://schemas.openxmlformats.org/officeDocument/2006/relationships/hyperlink" Target="https://github.com/FabianMolinaa/MiniTrabajo.git" TargetMode="External"/><Relationship Id="rId10" Type="http://schemas.openxmlformats.org/officeDocument/2006/relationships/hyperlink" Target="https://docs.google.com/document/d/1Hug28uUIkCIZjd_CrDv2dzMcKO9Z4AN4/edit?usp=drive_link&amp;ouid=109529928437141960776&amp;rtpof=true&amp;sd=true" TargetMode="External"/><Relationship Id="rId21" Type="http://schemas.openxmlformats.org/officeDocument/2006/relationships/hyperlink" Target="https://docs.google.com/document/d/1Ev6OT3Z7iLO5Op1oCPXgltlTxGsuFqZG/edit?usp=drive_link&amp;ouid=109529928437141960776&amp;rtpof=true&amp;sd=true" TargetMode="External"/><Relationship Id="rId13" Type="http://schemas.openxmlformats.org/officeDocument/2006/relationships/hyperlink" Target="https://drive.google.com/file/d/1m9WlUWDxgac4tggVZdUhIqRHg2iMYW-7/view?usp=drive_link" TargetMode="External"/><Relationship Id="rId24" Type="http://schemas.openxmlformats.org/officeDocument/2006/relationships/header" Target="header1.xml"/><Relationship Id="rId12" Type="http://schemas.openxmlformats.org/officeDocument/2006/relationships/hyperlink" Target="https://docs.google.com/document/d/16a6KCeLOvavKad8AQrJty8yRespWKrgv/edit?usp=drive_link&amp;ouid=109529928437141960776&amp;rtpof=true&amp;sd=true" TargetMode="External"/><Relationship Id="rId23" Type="http://schemas.openxmlformats.org/officeDocument/2006/relationships/hyperlink" Target="https://drive.google.com/file/d/1Ngbc7rz-T2CN4VcP9jkIv627qGuqteqK/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WJITMYS1U5DNP0UkGmCiqYoMizgAIOp9/edit?usp=drive_link&amp;ouid=109529928437141960776&amp;rtpof=true&amp;sd=true" TargetMode="External"/><Relationship Id="rId15" Type="http://schemas.openxmlformats.org/officeDocument/2006/relationships/hyperlink" Target="https://drive.google.com/drive/folders/12zalvHP2UUG5vqhPosOp6IfhkrY_1Sax?usp=sharing" TargetMode="External"/><Relationship Id="rId14" Type="http://schemas.openxmlformats.org/officeDocument/2006/relationships/hyperlink" Target="https://drive.google.com/file/d/1m9WlUWDxgac4tggVZdUhIqRHg2iMYW-7/view?usp=drive_link" TargetMode="External"/><Relationship Id="rId17" Type="http://schemas.openxmlformats.org/officeDocument/2006/relationships/hyperlink" Target="https://drive.google.com/file/d/1zpyTVsX_365dAXPLlDJfHqkY42AiZGXy/view?usp=sharing" TargetMode="External"/><Relationship Id="rId16" Type="http://schemas.openxmlformats.org/officeDocument/2006/relationships/hyperlink" Target="https://drive.google.com/file/d/1Ngbc7rz-T2CN4VcP9jkIv627qGuqteqK/view?usp=sharing" TargetMode="External"/><Relationship Id="rId5" Type="http://schemas.openxmlformats.org/officeDocument/2006/relationships/styles" Target="styles.xml"/><Relationship Id="rId19" Type="http://schemas.openxmlformats.org/officeDocument/2006/relationships/hyperlink" Target="https://trello.com/invite/b/6a8c885ea9e6b7d3ae15cf8c/ATTI5d62256d12949854e4953502d4ca1b868B048740/capstone" TargetMode="External"/><Relationship Id="rId6" Type="http://schemas.openxmlformats.org/officeDocument/2006/relationships/customXml" Target="../customXML/item1.xml"/><Relationship Id="rId18" Type="http://schemas.openxmlformats.org/officeDocument/2006/relationships/hyperlink" Target="https://docs.google.com/document/d/1rgx0kCFAE1xiIYeTgVNjT2WpZMPCdGxO/edit?usp=drive_link&amp;ouid=109529928437141960776&amp;rtpof=true&amp;sd=true" TargetMode="External"/><Relationship Id="rId7" Type="http://schemas.openxmlformats.org/officeDocument/2006/relationships/image" Target="media/image2.png"/><Relationship Id="rId8" Type="http://schemas.openxmlformats.org/officeDocument/2006/relationships/hyperlink" Target="https://docs.google.com/document/d/1r2ZSKccIHWWTzxoY4KuS2AFI2Q2ysOSG/edit?usp=drive_link&amp;ouid=10952992843714196077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lYItuhqcWudz4A49fLFcGB68A==">CgMxLjA4AHIhMWl5c0RlakFqTVhFcjFodGpKYm5RV1pyN1hGVUNBZjFY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