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Xe96f78150e0344f29ee1dc065411ab3386a592e"/>
    <w:p>
      <w:pPr>
        <w:pStyle w:val="Heading1"/>
      </w:pPr>
      <w:r>
        <w:t xml:space="preserve">06 — Bitácora de decisiones y problemas del proyecto</w:t>
      </w:r>
    </w:p>
    <w:p>
      <w:pPr>
        <w:pStyle w:val="FirstParagraph"/>
      </w:pPr>
      <w:r>
        <w:t xml:space="preserve">Este documento narra, en orden cronológico,</w:t>
      </w:r>
      <w:r>
        <w:t xml:space="preserve"> </w:t>
      </w:r>
      <w:r>
        <w:rPr>
          <w:bCs/>
          <w:b/>
        </w:rPr>
        <w:t xml:space="preserve">por qué</w:t>
      </w:r>
      <w:r>
        <w:t xml:space="preserve"> </w:t>
      </w:r>
      <w:r>
        <w:t xml:space="preserve">el proyecto terminó con la arquitectura que tiene hoy (VM + Task Scheduler + Azure SQL), en vez de la que se planeó originalmente (contenedores Docker en Azure Container Apps Jobs). Sirve como referencia para entender decisiones que de otra forma podrían parecer poco intuitivas, y como guía de diagnóstico si algún problema similar reaparece en el futuro.</w:t>
      </w:r>
    </w:p>
    <w:p>
      <w:r>
        <w:pict>
          <v:rect style="width:0;height:1.5pt" o:hralign="center" o:hrstd="t" o:hr="t"/>
        </w:pict>
      </w:r>
    </w:p>
    <w:bookmarkStart w:id="20" w:name="fase-1-automatización-local-básica"/>
    <w:p>
      <w:pPr>
        <w:pStyle w:val="Heading2"/>
      </w:pPr>
      <w:r>
        <w:t xml:space="preserve">Fase 1 — Automatización local básica</w:t>
      </w:r>
    </w:p>
    <w:p>
      <w:pPr>
        <w:pStyle w:val="FirstParagraph"/>
      </w:pPr>
      <w:r>
        <w:rPr>
          <w:bCs/>
          <w:b/>
        </w:rPr>
        <w:t xml:space="preserve">Punto de partida:</w:t>
      </w:r>
      <w:r>
        <w:t xml:space="preserve"> </w:t>
      </w:r>
      <w:r>
        <w:t xml:space="preserve">un script que requería login manual en SIS2 cada vez, y consultaba equipos uno por uno.</w:t>
      </w:r>
    </w:p>
    <w:p>
      <w:pPr>
        <w:pStyle w:val="BodyText"/>
      </w:pPr>
      <w:r>
        <w:rPr>
          <w:bCs/>
          <w:b/>
        </w:rPr>
        <w:t xml:space="preserve">Cambios de esta fase:</w:t>
      </w:r>
      <w:r>
        <w:t xml:space="preserve"> </w:t>
      </w:r>
      <w:r>
        <w:t xml:space="preserve">- Se automatizó el login con Playwright (usuario/contraseña desde</w:t>
      </w:r>
      <w:r>
        <w:t xml:space="preserve"> </w:t>
      </w:r>
      <w:r>
        <w:rPr>
          <w:rStyle w:val="VerbatimChar"/>
        </w:rPr>
        <w:t xml:space="preserve">.env</w:t>
      </w:r>
      <w:r>
        <w:t xml:space="preserve">).</w:t>
      </w:r>
      <w:r>
        <w:t xml:space="preserve"> </w:t>
      </w:r>
      <w:r>
        <w:t xml:space="preserve">- Se corrigieron varios problemas de la automatización del navegador:</w:t>
      </w:r>
      <w:r>
        <w:t xml:space="preserve"> </w:t>
      </w:r>
      <w:r>
        <w:t xml:space="preserve">-</w:t>
      </w:r>
      <w:r>
        <w:t xml:space="preserve"> </w:t>
      </w:r>
      <w:r>
        <w:rPr>
          <w:rStyle w:val="VerbatimChar"/>
        </w:rPr>
        <w:t xml:space="preserve">wait_until="networkidle"</w:t>
      </w:r>
      <w:r>
        <w:t xml:space="preserve"> </w:t>
      </w:r>
      <w:r>
        <w:t xml:space="preserve">nunca se cumplía (SIS2 mantiene tráfico de fondo constante) → se cambió a</w:t>
      </w:r>
      <w:r>
        <w:t xml:space="preserve"> </w:t>
      </w:r>
      <w:r>
        <w:rPr>
          <w:rStyle w:val="VerbatimChar"/>
        </w:rPr>
        <w:t xml:space="preserve">domcontentloaded</w:t>
      </w:r>
      <w:r>
        <w:t xml:space="preserve">.</w:t>
      </w:r>
      <w:r>
        <w:t xml:space="preserve"> </w:t>
      </w:r>
      <w:r>
        <w:t xml:space="preserve">- El login de Cat es un flujo de</w:t>
      </w:r>
      <w:r>
        <w:t xml:space="preserve"> </w:t>
      </w:r>
      <w:r>
        <w:rPr>
          <w:bCs/>
          <w:b/>
        </w:rPr>
        <w:t xml:space="preserve">dos pantallas</w:t>
      </w:r>
      <w:r>
        <w:t xml:space="preserve"> </w:t>
      </w:r>
      <w:r>
        <w:t xml:space="preserve">(usuario → Continue → password → enviar), no una sola — había que secuenciar ambos pasos explícitamente.</w:t>
      </w:r>
      <w:r>
        <w:t xml:space="preserve"> </w:t>
      </w:r>
      <w:r>
        <w:t xml:space="preserve">- Se paralelizaron las consultas con</w:t>
      </w:r>
      <w:r>
        <w:t xml:space="preserve"> </w:t>
      </w:r>
      <w:r>
        <w:rPr>
          <w:rStyle w:val="VerbatimChar"/>
        </w:rPr>
        <w:t xml:space="preserve">ThreadPoolExecutor</w:t>
      </w:r>
      <w:r>
        <w:t xml:space="preserve"> </w:t>
      </w:r>
      <w:r>
        <w:t xml:space="preserve">(8 threads), con un</w:t>
      </w:r>
      <w:r>
        <w:t xml:space="preserve"> </w:t>
      </w:r>
      <w:r>
        <w:rPr>
          <w:rStyle w:val="VerbatimChar"/>
        </w:rPr>
        <w:t xml:space="preserve">Lock</w:t>
      </w:r>
      <w:r>
        <w:t xml:space="preserve"> </w:t>
      </w:r>
      <w:r>
        <w:t xml:space="preserve">para evitar relogins duplicados si el token expiraba a mitad de una corrida con varios threads activos.</w:t>
      </w:r>
    </w:p>
    <w:p>
      <w:pPr>
        <w:pStyle w:val="BodyText"/>
      </w:pPr>
      <w:r>
        <w:t xml:space="preserve">Esta fase funcionó bien y sigue siendo la base del código actual.</w:t>
      </w:r>
    </w:p>
    <w:bookmarkEnd w:id="20"/>
    <w:bookmarkStart w:id="21" w:name="X4cb97c9efe15debdc54016ca7de6885e0b2118b"/>
    <w:p>
      <w:pPr>
        <w:pStyle w:val="Heading2"/>
      </w:pPr>
      <w:r>
        <w:t xml:space="preserve">Fase 2 — Contenerización y despliegue en Azure Container Apps Jobs</w:t>
      </w:r>
    </w:p>
    <w:p>
      <w:pPr>
        <w:pStyle w:val="FirstParagraph"/>
      </w:pPr>
      <w:r>
        <w:rPr>
          <w:bCs/>
          <w:b/>
        </w:rPr>
        <w:t xml:space="preserve">Decisión inicial:</w:t>
      </w:r>
      <w:r>
        <w:t xml:space="preserve"> </w:t>
      </w:r>
      <w:r>
        <w:t xml:space="preserve">empaquetar el proyecto en Docker y desplegarlo como un Container Apps Job en Azure, con ejecución programada (cron) y sin necesidad de mantener una VM encendida todo el tiempo.</w:t>
      </w:r>
    </w:p>
    <w:p>
      <w:pPr>
        <w:pStyle w:val="BodyText"/>
      </w:pPr>
      <w:r>
        <w:rPr>
          <w:bCs/>
          <w:b/>
        </w:rPr>
        <w:t xml:space="preserve">Problemas encontrados y resueltos en esta fase (todos técnicamente superados, pero acumulativos):</w:t>
      </w:r>
    </w:p>
    <w:p>
      <w:pPr>
        <w:numPr>
          <w:ilvl w:val="0"/>
          <w:numId w:val="1001"/>
        </w:numPr>
        <w:pStyle w:val="Compact"/>
      </w:pPr>
      <w:r>
        <w:rPr>
          <w:rStyle w:val="VerbatimChar"/>
          <w:bCs/>
          <w:b/>
        </w:rPr>
        <w:t xml:space="preserve">channel="chrome"</w:t>
      </w:r>
      <w:r>
        <w:rPr>
          <w:bCs/>
          <w:b/>
        </w:rPr>
        <w:t xml:space="preserve"> </w:t>
      </w:r>
      <w:r>
        <w:rPr>
          <w:bCs/>
          <w:b/>
        </w:rPr>
        <w:t xml:space="preserve">no disponible en la imagen Docker.</w:t>
      </w:r>
      <w:r>
        <w:t xml:space="preserve"> </w:t>
      </w:r>
      <w:r>
        <w:t xml:space="preserve">Localmente se usaba el Chrome real de Windows; la imagen de Playwright para Docker solo trae Chromium sin marca. Se quitó el parámetro</w:t>
      </w:r>
      <w:r>
        <w:t xml:space="preserve"> </w:t>
      </w:r>
      <w:r>
        <w:rPr>
          <w:rStyle w:val="VerbatimChar"/>
        </w:rPr>
        <w:t xml:space="preserve">channel</w:t>
      </w:r>
      <w:r>
        <w:t xml:space="preserve">.</w:t>
      </w:r>
    </w:p>
    <w:p>
      <w:pPr>
        <w:numPr>
          <w:ilvl w:val="0"/>
          <w:numId w:val="1001"/>
        </w:numPr>
        <w:pStyle w:val="Compact"/>
      </w:pPr>
      <w:r>
        <w:rPr>
          <w:bCs/>
          <w:b/>
        </w:rPr>
        <w:t xml:space="preserve">Desajuste de versión Playwright ↔ imagen Docker.</w:t>
      </w:r>
      <w:r>
        <w:t xml:space="preserve"> </w:t>
      </w:r>
      <w:r>
        <w:rPr>
          <w:rStyle w:val="VerbatimChar"/>
        </w:rPr>
        <w:t xml:space="preserve">requirements.txt</w:t>
      </w:r>
      <w:r>
        <w:t xml:space="preserve"> </w:t>
      </w:r>
      <w:r>
        <w:t xml:space="preserve">sin versión fija instalaba siempre la última versión de Playwright, pero la imagen base traía binarios de otra versión. Se fijó la versión para que coincidieran.</w:t>
      </w:r>
    </w:p>
    <w:p>
      <w:pPr>
        <w:numPr>
          <w:ilvl w:val="0"/>
          <w:numId w:val="1001"/>
        </w:numPr>
        <w:pStyle w:val="Compact"/>
      </w:pPr>
      <w:r>
        <w:rPr>
          <w:bCs/>
          <w:b/>
        </w:rPr>
        <w:t xml:space="preserve">Logs de consola invisibles.</w:t>
      </w:r>
      <w:r>
        <w:t xml:space="preserve"> </w:t>
      </w:r>
      <w:r>
        <w:t xml:space="preserve">Los</w:t>
      </w:r>
      <w:r>
        <w:t xml:space="preserve"> </w:t>
      </w:r>
      <w:r>
        <w:rPr>
          <w:rStyle w:val="VerbatimChar"/>
        </w:rPr>
        <w:t xml:space="preserve">print()</w:t>
      </w:r>
      <w:r>
        <w:t xml:space="preserve"> </w:t>
      </w:r>
      <w:r>
        <w:t xml:space="preserve">de Python quedaban atrapados en el buffer interno y no se veían en los logs en vivo del contenedor. Causa: buffering por defecto de Python cuando no hay una terminal interactiva. Solución:</w:t>
      </w:r>
      <w:r>
        <w:t xml:space="preserve"> </w:t>
      </w:r>
      <w:r>
        <w:rPr>
          <w:rStyle w:val="VerbatimChar"/>
        </w:rPr>
        <w:t xml:space="preserve">ENV PYTHONUNBUFFERED=1</w:t>
      </w:r>
      <w:r>
        <w:t xml:space="preserve"> </w:t>
      </w:r>
      <w:r>
        <w:t xml:space="preserve">en el Dockerfile.</w:t>
      </w:r>
    </w:p>
    <w:p>
      <w:pPr>
        <w:numPr>
          <w:ilvl w:val="0"/>
          <w:numId w:val="1001"/>
        </w:numPr>
        <w:pStyle w:val="Compact"/>
      </w:pPr>
      <w:r>
        <w:rPr>
          <w:bCs/>
          <w:b/>
        </w:rPr>
        <w:t xml:space="preserve">Errores de despliegue del Container Apps Job:</w:t>
      </w:r>
    </w:p>
    <w:p>
      <w:pPr>
        <w:numPr>
          <w:ilvl w:val="1"/>
          <w:numId w:val="1002"/>
        </w:numPr>
        <w:pStyle w:val="Compact"/>
      </w:pPr>
      <w:r>
        <w:rPr>
          <w:rStyle w:val="VerbatimChar"/>
        </w:rPr>
        <w:t xml:space="preserve">--replica-retry-limit is required</w:t>
      </w:r>
      <w:r>
        <w:t xml:space="preserve"> </w:t>
      </w:r>
      <w:r>
        <w:t xml:space="preserve">— faltaba ese flag en el comando de creación.</w:t>
      </w:r>
    </w:p>
    <w:p>
      <w:pPr>
        <w:numPr>
          <w:ilvl w:val="1"/>
          <w:numId w:val="1002"/>
        </w:numPr>
        <w:pStyle w:val="Compact"/>
      </w:pPr>
      <w:r>
        <w:rPr>
          <w:rStyle w:val="VerbatimChar"/>
        </w:rPr>
        <w:t xml:space="preserve">No credential was provided to access Azure Container Registry</w:t>
      </w:r>
      <w:r>
        <w:t xml:space="preserve"> </w:t>
      </w:r>
      <w:r>
        <w:t xml:space="preserve">— el ACR era privado; se resolvió habilitando su admin user y pasando</w:t>
      </w:r>
      <w:r>
        <w:t xml:space="preserve"> </w:t>
      </w:r>
      <w:r>
        <w:rPr>
          <w:rStyle w:val="VerbatimChar"/>
        </w:rPr>
        <w:t xml:space="preserve">--registry-username</w:t>
      </w:r>
      <w:r>
        <w:t xml:space="preserve">/</w:t>
      </w:r>
      <w:r>
        <w:rPr>
          <w:rStyle w:val="VerbatimChar"/>
        </w:rPr>
        <w:t xml:space="preserve">--registry-password</w:t>
      </w:r>
      <w:r>
        <w:t xml:space="preserve">.</w:t>
      </w:r>
    </w:p>
    <w:p>
      <w:pPr>
        <w:numPr>
          <w:ilvl w:val="1"/>
          <w:numId w:val="1002"/>
        </w:numPr>
        <w:pStyle w:val="Compact"/>
      </w:pPr>
      <w:r>
        <w:t xml:space="preserve">Las variables de entorno</w:t>
      </w:r>
      <w:r>
        <w:t xml:space="preserve"> </w:t>
      </w:r>
      <w:r>
        <w:t xml:space="preserve">“</w:t>
      </w:r>
      <w:r>
        <w:t xml:space="preserve">planas</w:t>
      </w:r>
      <w:r>
        <w:t xml:space="preserve">”</w:t>
      </w:r>
      <w:r>
        <w:t xml:space="preserve"> </w:t>
      </w:r>
      <w:r>
        <w:t xml:space="preserve">(no secretas) se</w:t>
      </w:r>
      <w:r>
        <w:t xml:space="preserve"> </w:t>
      </w:r>
      <w:r>
        <w:rPr>
          <w:bCs/>
          <w:b/>
        </w:rPr>
        <w:t xml:space="preserve">borraban por completo</w:t>
      </w:r>
      <w:r>
        <w:t xml:space="preserve"> </w:t>
      </w:r>
      <w:r>
        <w:t xml:space="preserve">cada vez que se corría</w:t>
      </w:r>
      <w:r>
        <w:t xml:space="preserve"> </w:t>
      </w:r>
      <w:r>
        <w:rPr>
          <w:rStyle w:val="VerbatimChar"/>
        </w:rPr>
        <w:t xml:space="preserve">az containerapp job update</w:t>
      </w:r>
      <w:r>
        <w:t xml:space="preserve"> </w:t>
      </w:r>
      <w:r>
        <w:t xml:space="preserve">sin repetir la lista entera — hubo que aprender a siempre incluir todas las variables en cada actualización, no solo la que se quería cambiar.</w:t>
      </w:r>
    </w:p>
    <w:p>
      <w:pPr>
        <w:numPr>
          <w:ilvl w:val="0"/>
          <w:numId w:val="1001"/>
        </w:numPr>
        <w:pStyle w:val="Compact"/>
      </w:pPr>
      <w:r>
        <w:rPr>
          <w:bCs/>
          <w:b/>
        </w:rPr>
        <w:t xml:space="preserve">Banner de consentimiento de cookies (OneTrust).</w:t>
      </w:r>
      <w:r>
        <w:t xml:space="preserve"> </w:t>
      </w:r>
      <w:r>
        <w:t xml:space="preserve">En un navegador limpio (como cada ejecución nueva en la nube), el banner de cookies aparecía siempre y podía bloquear silenciosamente los clics del formulario de login (localmente no se veía porque el navegador ya tenía el consentimiento guardado de sesiones anteriores). Se agregó</w:t>
      </w:r>
      <w:r>
        <w:t xml:space="preserve"> </w:t>
      </w:r>
      <w:r>
        <w:rPr>
          <w:rStyle w:val="VerbatimChar"/>
        </w:rPr>
        <w:t xml:space="preserve">_aceptar_cookies_si_aparece()</w:t>
      </w:r>
      <w:r>
        <w:t xml:space="preserve"> </w:t>
      </w:r>
      <w:r>
        <w:t xml:space="preserve">para cerrarlo antes de interactuar con el formulario.</w:t>
      </w:r>
    </w:p>
    <w:p>
      <w:pPr>
        <w:numPr>
          <w:ilvl w:val="0"/>
          <w:numId w:val="1001"/>
        </w:numPr>
        <w:pStyle w:val="Compact"/>
      </w:pPr>
      <w:r>
        <w:rPr>
          <w:bCs/>
          <w:b/>
        </w:rPr>
        <w:t xml:space="preserve">Timeout de la ejecución (</w:t>
      </w:r>
      <w:r>
        <w:rPr>
          <w:rStyle w:val="VerbatimChar"/>
          <w:bCs/>
          <w:b/>
        </w:rPr>
        <w:t xml:space="preserve">DeadlineExceeded</w:t>
      </w:r>
      <w:r>
        <w:rPr>
          <w:bCs/>
          <w:b/>
        </w:rPr>
        <w:t xml:space="preserve">) tras 30 minutos.</w:t>
      </w:r>
      <w:r>
        <w:t xml:space="preserve"> </w:t>
      </w:r>
      <w:r>
        <w:t xml:space="preserve">Se subió el límite a 90 minutos, sin resolver la causa de fondo (ver siguiente punto).</w:t>
      </w:r>
    </w:p>
    <w:bookmarkEnd w:id="21"/>
    <w:bookmarkStart w:id="22" w:name="X615c655d1f63e4e9900f0f3d11cbfc9384b6f47"/>
    <w:p>
      <w:pPr>
        <w:pStyle w:val="Heading2"/>
      </w:pPr>
      <w:r>
        <w:t xml:space="preserve">Fase 3 — El problema irresoluble: login que nunca se completa en el contenedor</w:t>
      </w:r>
    </w:p>
    <w:p>
      <w:pPr>
        <w:pStyle w:val="FirstParagraph"/>
      </w:pPr>
      <w:r>
        <w:t xml:space="preserve">Después de resolver todos los problemas de infraestructura de la Fase 2, el síntoma persistente era:</w:t>
      </w:r>
      <w:r>
        <w:t xml:space="preserve"> </w:t>
      </w:r>
      <w:r>
        <w:rPr>
          <w:bCs/>
          <w:b/>
        </w:rPr>
        <w:t xml:space="preserve">el login a SIS2 nunca se completaba</w:t>
      </w:r>
      <w:r>
        <w:t xml:space="preserve"> </w:t>
      </w:r>
      <w:r>
        <w:t xml:space="preserve">dentro del contenedor — el formulario se llenaba y se enviaba, pero la página quedaba de vuelta en la pantalla de</w:t>
      </w:r>
      <w:r>
        <w:t xml:space="preserve"> </w:t>
      </w:r>
      <w:r>
        <w:t xml:space="preserve">“</w:t>
      </w:r>
      <w:r>
        <w:t xml:space="preserve">Sign in</w:t>
      </w:r>
      <w:r>
        <w:t xml:space="preserve">”</w:t>
      </w:r>
      <w:r>
        <w:t xml:space="preserve">, sin generar bearer token ni las cookies de sesión esperadas. El patrón se repetía indefinidamente, consumiendo el tiempo de la ejecución sin avanzar.</w:t>
      </w:r>
    </w:p>
    <w:p>
      <w:pPr>
        <w:pStyle w:val="BodyText"/>
      </w:pPr>
      <w:r>
        <w:rPr>
          <w:bCs/>
          <w:b/>
        </w:rPr>
        <w:t xml:space="preserve">Hipótesis investigadas, en orden:</w:t>
      </w:r>
    </w:p>
    <w:p>
      <w:pPr>
        <w:numPr>
          <w:ilvl w:val="0"/>
          <w:numId w:val="1003"/>
        </w:numPr>
        <w:pStyle w:val="Compact"/>
      </w:pPr>
      <w:r>
        <w:rPr>
          <w:bCs/>
          <w:b/>
        </w:rPr>
        <w:t xml:space="preserve">¿Token/clave de ADLS corrupta?</w:t>
      </w:r>
      <w:r>
        <w:t xml:space="preserve"> </w:t>
      </w:r>
      <w:r>
        <w:t xml:space="preserve">Descartada — era un error de transcripción manual al copiar una clave, no relacionado al login de SIS2.</w:t>
      </w:r>
    </w:p>
    <w:p>
      <w:pPr>
        <w:numPr>
          <w:ilvl w:val="0"/>
          <w:numId w:val="1003"/>
        </w:numPr>
        <w:pStyle w:val="Compact"/>
      </w:pPr>
      <w:r>
        <w:rPr>
          <w:bCs/>
          <w:b/>
        </w:rPr>
        <w:t xml:space="preserve">¿Playwright/Chromium desincronizados?</w:t>
      </w:r>
      <w:r>
        <w:t xml:space="preserve"> </w:t>
      </w:r>
      <w:r>
        <w:t xml:space="preserve">Confirmado como un problema real, pero solo en el entorno</w:t>
      </w:r>
      <w:r>
        <w:t xml:space="preserve"> </w:t>
      </w:r>
      <w:r>
        <w:rPr>
          <w:bCs/>
          <w:b/>
        </w:rPr>
        <w:t xml:space="preserve">local</w:t>
      </w:r>
      <w:r>
        <w:t xml:space="preserve"> </w:t>
      </w:r>
      <w:r>
        <w:t xml:space="preserve">de una máquina distinta — no era la causa del problema en la nube.</w:t>
      </w:r>
    </w:p>
    <w:p>
      <w:pPr>
        <w:numPr>
          <w:ilvl w:val="0"/>
          <w:numId w:val="1003"/>
        </w:numPr>
        <w:pStyle w:val="Compact"/>
      </w:pPr>
      <w:r>
        <w:rPr>
          <w:bCs/>
          <w:b/>
        </w:rPr>
        <w:t xml:space="preserve">¿Banner de cookies bloqueando el envío del formulario?</w:t>
      </w:r>
      <w:r>
        <w:t xml:space="preserve"> </w:t>
      </w:r>
      <w:r>
        <w:t xml:space="preserve">Se implementó el fix (Fase 2, punto 5), pero el problema de login persistió idéntico después de aplicarlo — se descartó como causa única.</w:t>
      </w:r>
    </w:p>
    <w:p>
      <w:pPr>
        <w:numPr>
          <w:ilvl w:val="0"/>
          <w:numId w:val="1003"/>
        </w:numPr>
        <w:pStyle w:val="Compact"/>
      </w:pPr>
      <w:r>
        <w:rPr>
          <w:bCs/>
          <w:b/>
        </w:rPr>
        <w:t xml:space="preserve">¿Bloqueo por IP de datacenter de Azure?</w:t>
      </w:r>
      <w:r>
        <w:t xml:space="preserve"> </w:t>
      </w:r>
      <w:r>
        <w:t xml:space="preserve">Hipótesis fuerte en su momento: se probó el login manual desde varios orígenes (red corporativa: funcionaba; datos móviles del celular: funcionaba; un proxy web tipo CroxyProxy: resultado ambiguo, no concluyente). La prueba decisiva fue crear una</w:t>
      </w:r>
      <w:r>
        <w:t xml:space="preserve"> </w:t>
      </w:r>
      <w:r>
        <w:rPr>
          <w:bCs/>
          <w:b/>
        </w:rPr>
        <w:t xml:space="preserve">VM de Azure</w:t>
      </w:r>
      <w:r>
        <w:t xml:space="preserve"> </w:t>
      </w:r>
      <w:r>
        <w:t xml:space="preserve">(con una IP pública del mismo rango de datacenter que el contenedor) y correr el proyecto ahí</w:t>
      </w:r>
      <w:r>
        <w:t xml:space="preserve"> </w:t>
      </w:r>
      <w:r>
        <w:rPr>
          <w:bCs/>
          <w:b/>
        </w:rPr>
        <w:t xml:space="preserve">sin Docker</w:t>
      </w:r>
      <w:r>
        <w:t xml:space="preserve"> </w:t>
      </w:r>
      <w:r>
        <w:t xml:space="preserve">—</w:t>
      </w:r>
      <w:r>
        <w:t xml:space="preserve"> </w:t>
      </w:r>
      <w:r>
        <w:rPr>
          <w:bCs/>
          <w:b/>
        </w:rPr>
        <w:t xml:space="preserve">funcionó perfecto</w:t>
      </w:r>
      <w:r>
        <w:t xml:space="preserve">, con 3672 filas exitosas y login instantáneo. Esto</w:t>
      </w:r>
      <w:r>
        <w:t xml:space="preserve"> </w:t>
      </w:r>
      <w:r>
        <w:rPr>
          <w:bCs/>
          <w:b/>
        </w:rPr>
        <w:t xml:space="preserve">descartó por completo</w:t>
      </w:r>
      <w:r>
        <w:t xml:space="preserve"> </w:t>
      </w:r>
      <w:r>
        <w:t xml:space="preserve">la teoría de bloqueo por IP de datacenter, ya que la VM tenía prácticamente el mismo tipo de IP que el contenedor y no tuvo ningún problema.</w:t>
      </w:r>
    </w:p>
    <w:p>
      <w:pPr>
        <w:numPr>
          <w:ilvl w:val="0"/>
          <w:numId w:val="1003"/>
        </w:numPr>
        <w:pStyle w:val="Compact"/>
      </w:pPr>
      <w:r>
        <w:rPr>
          <w:bCs/>
          <w:b/>
        </w:rPr>
        <w:t xml:space="preserve">Conclusión:</w:t>
      </w:r>
      <w:r>
        <w:t xml:space="preserve"> </w:t>
      </w:r>
      <w:r>
        <w:t xml:space="preserve">el problema era específico de correr Chromium en</w:t>
      </w:r>
      <w:r>
        <w:t xml:space="preserve"> </w:t>
      </w:r>
      <w:r>
        <w:rPr>
          <w:bCs/>
          <w:b/>
        </w:rPr>
        <w:t xml:space="preserve">modo</w:t>
      </w:r>
      <w:r>
        <w:rPr>
          <w:bCs/>
          <w:b/>
        </w:rPr>
        <w:t xml:space="preserve"> </w:t>
      </w:r>
      <w:r>
        <w:rPr>
          <w:rStyle w:val="VerbatimChar"/>
          <w:bCs/>
          <w:b/>
        </w:rPr>
        <w:t xml:space="preserve">--headless</w:t>
      </w:r>
      <w:r>
        <w:rPr>
          <w:bCs/>
          <w:b/>
        </w:rPr>
        <w:t xml:space="preserve"> </w:t>
      </w:r>
      <w:r>
        <w:rPr>
          <w:bCs/>
          <w:b/>
        </w:rPr>
        <w:t xml:space="preserve">real dentro de un contenedor Docker Linux</w:t>
      </w:r>
      <w:r>
        <w:t xml:space="preserve"> </w:t>
      </w:r>
      <w:r>
        <w:t xml:space="preserve">— ese modo deja huellas técnicas (fingerprint) detectables por sistemas de seguridad basados en riesgo, de una forma que no ocurre con Chromium corriendo nativo en Windows (headless o no). Se intentó una mitigación con</w:t>
      </w:r>
      <w:r>
        <w:t xml:space="preserve"> </w:t>
      </w:r>
      <w:r>
        <w:rPr>
          <w:bCs/>
          <w:b/>
        </w:rPr>
        <w:t xml:space="preserve">Xvfb</w:t>
      </w:r>
      <w:r>
        <w:t xml:space="preserve"> </w:t>
      </w:r>
      <w:r>
        <w:t xml:space="preserve">(pantalla virtual) para forzar que Chromium corriera en modo</w:t>
      </w:r>
      <w:r>
        <w:t xml:space="preserve"> </w:t>
      </w:r>
      <w:r>
        <w:t xml:space="preserve">“</w:t>
      </w:r>
      <w:r>
        <w:t xml:space="preserve">no headless</w:t>
      </w:r>
      <w:r>
        <w:t xml:space="preserve">”</w:t>
      </w:r>
      <w:r>
        <w:t xml:space="preserve"> </w:t>
      </w:r>
      <w:r>
        <w:t xml:space="preserve">dentro del contenedor — la implementación se completó (Dockerfile con Xvfb, código detectando el entorno de contenedor para forzar modo no-headless), pero no se llegó a confirmar si resolvía el problema, porque en paralelo se tomó la decisión de abandonar el enfoque de contenedores por completo, dado que la VM ya había demostrado funcionar sin ningún ajuste especial.</w:t>
      </w:r>
    </w:p>
    <w:p>
      <w:pPr>
        <w:pStyle w:val="FirstParagraph"/>
      </w:pPr>
      <w:r>
        <w:rPr>
          <w:bCs/>
          <w:b/>
        </w:rPr>
        <w:t xml:space="preserve">Decisión:</w:t>
      </w:r>
      <w:r>
        <w:t xml:space="preserve"> </w:t>
      </w:r>
      <w:r>
        <w:t xml:space="preserve">abandonar Docker/Container Apps Jobs. Migrar el proyecto a correr directamente en una VM de Windows, con Chromium nativo.</w:t>
      </w:r>
    </w:p>
    <w:bookmarkEnd w:id="22"/>
    <w:bookmarkStart w:id="23" w:name="fase-4-migración-a-vm"/>
    <w:p>
      <w:pPr>
        <w:pStyle w:val="Heading2"/>
      </w:pPr>
      <w:r>
        <w:t xml:space="preserve">Fase 4 — Migración a VM</w:t>
      </w:r>
    </w:p>
    <w:p>
      <w:pPr>
        <w:numPr>
          <w:ilvl w:val="0"/>
          <w:numId w:val="1004"/>
        </w:numPr>
        <w:pStyle w:val="Compact"/>
      </w:pPr>
      <w:r>
        <w:t xml:space="preserve">Se limpió todo el código y configuración específicos de Docker:</w:t>
      </w:r>
      <w:r>
        <w:t xml:space="preserve"> </w:t>
      </w:r>
      <w:r>
        <w:rPr>
          <w:rStyle w:val="VerbatimChar"/>
        </w:rPr>
        <w:t xml:space="preserve">Dockerfile</w:t>
      </w:r>
      <w:r>
        <w:t xml:space="preserve">,</w:t>
      </w:r>
      <w:r>
        <w:t xml:space="preserve"> </w:t>
      </w:r>
      <w:r>
        <w:rPr>
          <w:rStyle w:val="VerbatimChar"/>
        </w:rPr>
        <w:t xml:space="preserve">.dockerignore</w:t>
      </w:r>
      <w:r>
        <w:t xml:space="preserve">,</w:t>
      </w:r>
      <w:r>
        <w:t xml:space="preserve"> </w:t>
      </w:r>
      <w:r>
        <w:rPr>
          <w:rStyle w:val="VerbatimChar"/>
        </w:rPr>
        <w:t xml:space="preserve">requirements-cloud.txt</w:t>
      </w:r>
      <w:r>
        <w:t xml:space="preserve"> </w:t>
      </w:r>
      <w:r>
        <w:t xml:space="preserve">(sus dependencias se fusionaron en un único</w:t>
      </w:r>
      <w:r>
        <w:t xml:space="preserve"> </w:t>
      </w:r>
      <w:r>
        <w:rPr>
          <w:rStyle w:val="VerbatimChar"/>
        </w:rPr>
        <w:t xml:space="preserve">requirements.txt</w:t>
      </w:r>
      <w:r>
        <w:t xml:space="preserve">), y la lógica de</w:t>
      </w:r>
      <w:r>
        <w:t xml:space="preserve"> </w:t>
      </w:r>
      <w:r>
        <w:rPr>
          <w:rStyle w:val="VerbatimChar"/>
        </w:rPr>
        <w:t xml:space="preserve">RUNNING_IN_DOCKER</w:t>
      </w:r>
      <w:r>
        <w:t xml:space="preserve">/Xvfb en</w:t>
      </w:r>
      <w:r>
        <w:t xml:space="preserve"> </w:t>
      </w:r>
      <w:r>
        <w:rPr>
          <w:rStyle w:val="VerbatimChar"/>
        </w:rPr>
        <w:t xml:space="preserve">Authentication.py</w:t>
      </w:r>
      <w:r>
        <w:t xml:space="preserve">.</w:t>
      </w:r>
    </w:p>
    <w:p>
      <w:pPr>
        <w:numPr>
          <w:ilvl w:val="0"/>
          <w:numId w:val="1004"/>
        </w:numPr>
        <w:pStyle w:val="Compact"/>
      </w:pPr>
      <w:r>
        <w:t xml:space="preserve">Se recorrió el mismo proceso de configuración de entorno en la nueva VM (instalar Python/Anaconda, Playwright,</w:t>
      </w:r>
      <w:r>
        <w:t xml:space="preserve"> </w:t>
      </w:r>
      <w:r>
        <w:rPr>
          <w:rStyle w:val="VerbatimChar"/>
        </w:rPr>
        <w:t xml:space="preserve">playwright install chromium</w:t>
      </w:r>
      <w:r>
        <w:t xml:space="preserve">), encontrando y resolviendo nuevamente algunos de los mismos problemas de la Fase 2 (versión de Chromium desincronizada, esta vez en la VM en vez de en una laptop) — confirmando que son problemas de entorno, no del código en sí.</w:t>
      </w:r>
    </w:p>
    <w:p>
      <w:pPr>
        <w:numPr>
          <w:ilvl w:val="0"/>
          <w:numId w:val="1004"/>
        </w:numPr>
        <w:pStyle w:val="Compact"/>
      </w:pPr>
      <w:r>
        <w:t xml:space="preserve">Se endureció</w:t>
      </w:r>
      <w:r>
        <w:t xml:space="preserve"> </w:t>
      </w:r>
      <w:r>
        <w:rPr>
          <w:rStyle w:val="VerbatimChar"/>
        </w:rPr>
        <w:t xml:space="preserve">cargar_equipos()</w:t>
      </w:r>
      <w:r>
        <w:t xml:space="preserve">: se agregó la opción de fijar el nombre exacto del archivo de entrada (</w:t>
      </w:r>
      <w:r>
        <w:rPr>
          <w:rStyle w:val="VerbatimChar"/>
        </w:rPr>
        <w:t xml:space="preserve">ADLS_INPUT_FILENAME</w:t>
      </w:r>
      <w:r>
        <w:t xml:space="preserve">), y validación de que cualquier</w:t>
      </w:r>
      <w:r>
        <w:t xml:space="preserve"> </w:t>
      </w:r>
      <w:r>
        <w:rPr>
          <w:rStyle w:val="VerbatimChar"/>
        </w:rPr>
        <w:t xml:space="preserve">.csv</w:t>
      </w:r>
      <w:r>
        <w:t xml:space="preserve"> </w:t>
      </w:r>
      <w:r>
        <w:t xml:space="preserve">encontrado tenga la columna</w:t>
      </w:r>
      <w:r>
        <w:t xml:space="preserve"> </w:t>
      </w:r>
      <w:r>
        <w:rPr>
          <w:rStyle w:val="VerbatimChar"/>
        </w:rPr>
        <w:t xml:space="preserve">SerialNumber</w:t>
      </w:r>
      <w:r>
        <w:t xml:space="preserve">, tras identificar el riesgo de que otro archivo ajeno apareciera en la misma carpeta de ADLS y se mezclara sin querer.</w:t>
      </w:r>
    </w:p>
    <w:bookmarkEnd w:id="23"/>
    <w:bookmarkStart w:id="24" w:name="Xf41c8af9e8c126ae6ce621353deaf8e170918ed"/>
    <w:p>
      <w:pPr>
        <w:pStyle w:val="Heading2"/>
      </w:pPr>
      <w:r>
        <w:t xml:space="preserve">Fase 5 — Cambio del destino de datos: de CSV/ADLS a Azure SQL con historial de cambios</w:t>
      </w:r>
    </w:p>
    <w:p>
      <w:pPr>
        <w:pStyle w:val="FirstParagraph"/>
      </w:pPr>
      <w:r>
        <w:rPr>
          <w:bCs/>
          <w:b/>
        </w:rPr>
        <w:t xml:space="preserve">Decisión:</w:t>
      </w:r>
      <w:r>
        <w:t xml:space="preserve"> </w:t>
      </w:r>
      <w:r>
        <w:t xml:space="preserve">en vez de generar un CSV de snapshot completo en cada corrida (~3672 filas siempre, la mayoría sin cambios reales), mover el resultado a una tabla de Azure SQL (</w:t>
      </w:r>
      <w:r>
        <w:rPr>
          <w:rStyle w:val="VerbatimChar"/>
        </w:rPr>
        <w:t xml:space="preserve">epcat.ecm_cat_software_number</w:t>
      </w:r>
      <w:r>
        <w:t xml:space="preserve">) que solo acumula</w:t>
      </w:r>
      <w:r>
        <w:t xml:space="preserve"> </w:t>
      </w:r>
      <w:r>
        <w:rPr>
          <w:bCs/>
          <w:b/>
        </w:rPr>
        <w:t xml:space="preserve">lo que cambió</w:t>
      </w:r>
      <w:r>
        <w:t xml:space="preserve"> </w:t>
      </w:r>
      <w:r>
        <w:t xml:space="preserve">respecto a la corrida anterior — mucho más útil para reportes y consumo posterior.</w:t>
      </w:r>
    </w:p>
    <w:p>
      <w:pPr>
        <w:pStyle w:val="BodyText"/>
      </w:pPr>
      <w:r>
        <w:rPr>
          <w:bCs/>
          <w:b/>
        </w:rPr>
        <w:t xml:space="preserve">Problemas de esta fase:</w:t>
      </w:r>
    </w:p>
    <w:p>
      <w:pPr>
        <w:numPr>
          <w:ilvl w:val="0"/>
          <w:numId w:val="1005"/>
        </w:numPr>
        <w:pStyle w:val="Compact"/>
      </w:pPr>
      <w:r>
        <w:rPr>
          <w:bCs/>
          <w:b/>
        </w:rPr>
        <w:t xml:space="preserve">Bug de comparación por tipos de datos.</w:t>
      </w:r>
      <w:r>
        <w:t xml:space="preserve"> </w:t>
      </w:r>
      <w:r>
        <w:t xml:space="preserve">La primera implementación comparaba valores</w:t>
      </w:r>
      <w:r>
        <w:t xml:space="preserve"> </w:t>
      </w:r>
      <w:r>
        <w:t xml:space="preserve">“</w:t>
      </w:r>
      <w:r>
        <w:t xml:space="preserve">tal cual</w:t>
      </w:r>
      <w:r>
        <w:t xml:space="preserve">”</w:t>
      </w:r>
      <w:r>
        <w:t xml:space="preserve"> </w:t>
      </w:r>
      <w:r>
        <w:t xml:space="preserve">venían de la API (algunos como</w:t>
      </w:r>
      <w:r>
        <w:t xml:space="preserve"> </w:t>
      </w:r>
      <w:r>
        <w:rPr>
          <w:rStyle w:val="VerbatimChar"/>
        </w:rPr>
        <w:t xml:space="preserve">bool</w:t>
      </w:r>
      <w:r>
        <w:t xml:space="preserve">) contra lo que volvía de SQL (siempre como texto, por ser columnas</w:t>
      </w:r>
      <w:r>
        <w:t xml:space="preserve"> </w:t>
      </w:r>
      <w:r>
        <w:rPr>
          <w:rStyle w:val="VerbatimChar"/>
        </w:rPr>
        <w:t xml:space="preserve">NVARCHAR</w:t>
      </w:r>
      <w:r>
        <w:t xml:space="preserve">) — la comparación</w:t>
      </w:r>
      <w:r>
        <w:t xml:space="preserve"> </w:t>
      </w:r>
      <w:r>
        <w:rPr>
          <w:rStyle w:val="VerbatimChar"/>
        </w:rPr>
        <w:t xml:space="preserve">True != "True"</w:t>
      </w:r>
      <w:r>
        <w:t xml:space="preserve"> </w:t>
      </w:r>
      <w:r>
        <w:t xml:space="preserve">generaba falsos positivos de</w:t>
      </w:r>
      <w:r>
        <w:t xml:space="preserve"> </w:t>
      </w:r>
      <w:r>
        <w:t xml:space="preserve">“</w:t>
      </w:r>
      <w:r>
        <w:t xml:space="preserve">cambio</w:t>
      </w:r>
      <w:r>
        <w:t xml:space="preserve">”</w:t>
      </w:r>
      <w:r>
        <w:t xml:space="preserve"> </w:t>
      </w:r>
      <w:r>
        <w:t xml:space="preserve">en casi cada corrida (3540 de 3672 filas marcadas como cambiadas, sin haber cambiado nada realmente).</w:t>
      </w:r>
      <w:r>
        <w:t xml:space="preserve"> </w:t>
      </w:r>
      <w:r>
        <w:rPr>
          <w:bCs/>
          <w:b/>
        </w:rPr>
        <w:t xml:space="preserve">Solución:</w:t>
      </w:r>
      <w:r>
        <w:t xml:space="preserve"> </w:t>
      </w:r>
      <w:r>
        <w:t xml:space="preserve">normalizar ambos lados a texto (</w:t>
      </w:r>
      <w:r>
        <w:rPr>
          <w:rStyle w:val="VerbatimChar"/>
        </w:rPr>
        <w:t xml:space="preserve">str()</w:t>
      </w:r>
      <w:r>
        <w:t xml:space="preserve">) antes de comparar.</w:t>
      </w:r>
    </w:p>
    <w:p>
      <w:pPr>
        <w:numPr>
          <w:ilvl w:val="0"/>
          <w:numId w:val="1005"/>
        </w:numPr>
        <w:pStyle w:val="Compact"/>
      </w:pPr>
      <w:r>
        <w:rPr>
          <w:bCs/>
          <w:b/>
        </w:rPr>
        <w:t xml:space="preserve">Bug de clave de identidad insuficiente.</w:t>
      </w:r>
      <w:r>
        <w:t xml:space="preserve"> </w:t>
      </w:r>
      <w:r>
        <w:t xml:space="preserve">Después del fix anterior, aún quedaban ~450 falsos positivos. Investigando el detalle, se encontró que un mismo equipo puede tener</w:t>
      </w:r>
      <w:r>
        <w:t xml:space="preserve"> </w:t>
      </w:r>
      <w:r>
        <w:rPr>
          <w:bCs/>
          <w:b/>
        </w:rPr>
        <w:t xml:space="preserve">dos ECMs con el mismo nombre</w:t>
      </w:r>
      <w:r>
        <w:t xml:space="preserve"> </w:t>
      </w:r>
      <w:r>
        <w:t xml:space="preserve">(ej. dos módulos</w:t>
      </w:r>
      <w:r>
        <w:t xml:space="preserve"> </w:t>
      </w:r>
      <w:r>
        <w:t xml:space="preserve">“</w:t>
      </w:r>
      <w:r>
        <w:t xml:space="preserve">ENGINE</w:t>
      </w:r>
      <w:r>
        <w:t xml:space="preserve">”</w:t>
      </w:r>
      <w:r>
        <w:t xml:space="preserve"> </w:t>
      </w:r>
      <w:r>
        <w:t xml:space="preserve">distintos, cada uno con su propio archivo de software) — la clave original</w:t>
      </w:r>
      <w:r>
        <w:t xml:space="preserve"> </w:t>
      </w:r>
      <w:r>
        <w:rPr>
          <w:rStyle w:val="VerbatimChar"/>
        </w:rPr>
        <w:t xml:space="preserve">(serial, ecm_name)</w:t>
      </w:r>
      <w:r>
        <w:t xml:space="preserve"> </w:t>
      </w:r>
      <w:r>
        <w:t xml:space="preserve">no alcanzaba para distinguirlos, así que el diccionario de</w:t>
      </w:r>
      <w:r>
        <w:t xml:space="preserve"> </w:t>
      </w:r>
      <w:r>
        <w:t xml:space="preserve">“</w:t>
      </w:r>
      <w:r>
        <w:t xml:space="preserve">último estado conocido</w:t>
      </w:r>
      <w:r>
        <w:t xml:space="preserve">”</w:t>
      </w:r>
      <w:r>
        <w:t xml:space="preserve"> </w:t>
      </w:r>
      <w:r>
        <w:t xml:space="preserve">solo podía guardar uno de los dos, y el otro se re-insertaba como</w:t>
      </w:r>
      <w:r>
        <w:t xml:space="preserve"> </w:t>
      </w:r>
      <w:r>
        <w:t xml:space="preserve">“</w:t>
      </w:r>
      <w:r>
        <w:t xml:space="preserve">cambiado</w:t>
      </w:r>
      <w:r>
        <w:t xml:space="preserve">”</w:t>
      </w:r>
      <w:r>
        <w:t xml:space="preserve"> </w:t>
      </w:r>
      <w:r>
        <w:t xml:space="preserve">en cada corrida indefinidamente.</w:t>
      </w:r>
      <w:r>
        <w:t xml:space="preserve"> </w:t>
      </w:r>
      <w:r>
        <w:rPr>
          <w:bCs/>
          <w:b/>
        </w:rPr>
        <w:t xml:space="preserve">Solución:</w:t>
      </w:r>
      <w:r>
        <w:t xml:space="preserve"> </w:t>
      </w:r>
      <w:r>
        <w:t xml:space="preserve">ampliar la clave a</w:t>
      </w:r>
      <w:r>
        <w:t xml:space="preserve"> </w:t>
      </w:r>
      <w:r>
        <w:rPr>
          <w:rStyle w:val="VerbatimChar"/>
        </w:rPr>
        <w:t xml:space="preserve">(serial, ecm_name, flash_file)</w:t>
      </w:r>
      <w:r>
        <w:t xml:space="preserve">, sacando</w:t>
      </w:r>
      <w:r>
        <w:t xml:space="preserve"> </w:t>
      </w:r>
      <w:r>
        <w:rPr>
          <w:rStyle w:val="VerbatimChar"/>
        </w:rPr>
        <w:t xml:space="preserve">flash_file</w:t>
      </w:r>
      <w:r>
        <w:t xml:space="preserve"> </w:t>
      </w:r>
      <w:r>
        <w:t xml:space="preserve">de los campos comparables (pasa a ser parte de la identidad).</w:t>
      </w:r>
    </w:p>
    <w:p>
      <w:pPr>
        <w:numPr>
          <w:ilvl w:val="0"/>
          <w:numId w:val="1005"/>
        </w:numPr>
        <w:pStyle w:val="Compact"/>
      </w:pPr>
      <w:r>
        <w:rPr>
          <w:bCs/>
          <w:b/>
        </w:rPr>
        <w:t xml:space="preserve">Caso residual menor (4 filas de ~3672, no perseguido más):</w:t>
      </w:r>
      <w:r>
        <w:t xml:space="preserve"> </w:t>
      </w:r>
      <w:r>
        <w:t xml:space="preserve">equipos de tipo</w:t>
      </w:r>
      <w:r>
        <w:t xml:space="preserve"> </w:t>
      </w:r>
      <w:r>
        <w:t xml:space="preserve">“</w:t>
      </w:r>
      <w:r>
        <w:t xml:space="preserve">Telematics Device</w:t>
      </w:r>
      <w:r>
        <w:t xml:space="preserve">”</w:t>
      </w:r>
      <w:r>
        <w:t xml:space="preserve">/</w:t>
      </w:r>
      <w:r>
        <w:t xml:space="preserve">“</w:t>
      </w:r>
      <w:r>
        <w:t xml:space="preserve">TELEMATICS CELLULAR RADIO</w:t>
      </w:r>
      <w:r>
        <w:t xml:space="preserve">”</w:t>
      </w:r>
      <w:r>
        <w:t xml:space="preserve"> </w:t>
      </w:r>
      <w:r>
        <w:t xml:space="preserve">que no tienen datos reales de software (</w:t>
      </w:r>
      <w:r>
        <w:rPr>
          <w:rStyle w:val="VerbatimChar"/>
        </w:rPr>
        <w:t xml:space="preserve">file_size</w:t>
      </w:r>
      <w:r>
        <w:t xml:space="preserve">,</w:t>
      </w:r>
      <w:r>
        <w:t xml:space="preserve"> </w:t>
      </w:r>
      <w:r>
        <w:rPr>
          <w:rStyle w:val="VerbatimChar"/>
        </w:rPr>
        <w:t xml:space="preserve">service_file_id</w:t>
      </w:r>
      <w:r>
        <w:t xml:space="preserve">,</w:t>
      </w:r>
      <w:r>
        <w:t xml:space="preserve"> </w:t>
      </w:r>
      <w:r>
        <w:rPr>
          <w:rStyle w:val="VerbatimChar"/>
        </w:rPr>
        <w:t xml:space="preserve">release_date</w:t>
      </w:r>
      <w:r>
        <w:t xml:space="preserve"> </w:t>
      </w:r>
      <w:r>
        <w:t xml:space="preserve">todos vacíos) mostraban inconsistencia ocasional en</w:t>
      </w:r>
      <w:r>
        <w:t xml:space="preserve"> </w:t>
      </w:r>
      <w:r>
        <w:rPr>
          <w:rStyle w:val="VerbatimChar"/>
        </w:rPr>
        <w:t xml:space="preserve">flash_file</w:t>
      </w:r>
      <w:r>
        <w:t xml:space="preserve"> </w:t>
      </w:r>
      <w:r>
        <w:t xml:space="preserve">entre corridas. Se decidió dejarlo así, dado el volumen ínfimo y que esos registros no tienen información sustantiva que trackear.</w:t>
      </w:r>
    </w:p>
    <w:bookmarkEnd w:id="24"/>
    <w:bookmarkStart w:id="25" w:name="Xe9d10dbca4c34e4bf222baa030d32655e353d4e"/>
    <w:p>
      <w:pPr>
        <w:pStyle w:val="Heading2"/>
      </w:pPr>
      <w:r>
        <w:t xml:space="preserve">Fase 6 — Problemas de autenticación a Azure SQL</w:t>
      </w:r>
    </w:p>
    <w:p>
      <w:pPr>
        <w:pStyle w:val="FirstParagraph"/>
      </w:pPr>
      <w:r>
        <w:rPr>
          <w:bCs/>
          <w:b/>
        </w:rPr>
        <w:t xml:space="preserve">Intento 1 — Identidad administrada de la VM (enfoque recomendado por Microsoft):</w:t>
      </w:r>
      <w:r>
        <w:t xml:space="preserve"> </w:t>
      </w:r>
      <w:r>
        <w:t xml:space="preserve">- Se activó la identidad administrada (system-assigned) de la VM.</w:t>
      </w:r>
      <w:r>
        <w:t xml:space="preserve"> </w:t>
      </w:r>
      <w:r>
        <w:t xml:space="preserve">- Se intentó</w:t>
      </w:r>
      <w:r>
        <w:t xml:space="preserve"> </w:t>
      </w:r>
      <w:r>
        <w:rPr>
          <w:rStyle w:val="VerbatimChar"/>
        </w:rPr>
        <w:t xml:space="preserve">CREATE USER ... FROM EXTERNAL PROVIDER</w:t>
      </w:r>
      <w:r>
        <w:t xml:space="preserve"> </w:t>
      </w:r>
      <w:r>
        <w:t xml:space="preserve">en SQL → falló con</w:t>
      </w:r>
      <w:r>
        <w:t xml:space="preserve"> </w:t>
      </w:r>
      <w:r>
        <w:rPr>
          <w:iCs/>
          <w:i/>
        </w:rPr>
        <w:t xml:space="preserve">“</w:t>
      </w:r>
      <w:r>
        <w:rPr>
          <w:iCs/>
          <w:i/>
        </w:rPr>
        <w:t xml:space="preserve">Only connections established with Active Directory accounts can create other Active Directory users</w:t>
      </w:r>
      <w:r>
        <w:rPr>
          <w:iCs/>
          <w:i/>
        </w:rPr>
        <w:t xml:space="preserve">”</w:t>
      </w:r>
      <w:r>
        <w:t xml:space="preserve"> </w:t>
      </w:r>
      <w:r>
        <w:t xml:space="preserve">— el servidor SQL no tiene el permiso</w:t>
      </w:r>
      <w:r>
        <w:t xml:space="preserve"> </w:t>
      </w:r>
      <w:r>
        <w:rPr>
          <w:bCs/>
          <w:b/>
        </w:rPr>
        <w:t xml:space="preserve">Directory Readers</w:t>
      </w:r>
      <w:r>
        <w:t xml:space="preserve"> </w:t>
      </w:r>
      <w:r>
        <w:t xml:space="preserve">sobre su propia identidad, necesario para validar tokens de Azure AD, y ese permiso solo lo puede asignar un Global Administrator de Azure AD (no disponible en el corto plazo).</w:t>
      </w:r>
      <w:r>
        <w:t xml:space="preserve"> </w:t>
      </w:r>
      <w:r>
        <w:t xml:space="preserve">- Se probó el workaround documentado de crear el usuario directamente por SID calculado (</w:t>
      </w:r>
      <w:r>
        <w:rPr>
          <w:rStyle w:val="VerbatimChar"/>
        </w:rPr>
        <w:t xml:space="preserve">CREATE USER ... WITH SID = 0x..., TYPE = E</w:t>
      </w:r>
      <w:r>
        <w:t xml:space="preserve">) — el usuario se creó correctamente, pero la conexión seguía fallando con</w:t>
      </w:r>
      <w:r>
        <w:t xml:space="preserve"> </w:t>
      </w:r>
      <w:r>
        <w:rPr>
          <w:rStyle w:val="VerbatimChar"/>
        </w:rPr>
        <w:t xml:space="preserve">Login failed for user '&lt;token-identified principal&gt;'</w:t>
      </w:r>
      <w:r>
        <w:t xml:space="preserve">.</w:t>
      </w:r>
      <w:r>
        <w:t xml:space="preserve"> </w:t>
      </w:r>
      <w:r>
        <w:t xml:space="preserve">- Se corrigió</w:t>
      </w:r>
      <w:r>
        <w:t xml:space="preserve"> </w:t>
      </w:r>
      <w:r>
        <w:rPr>
          <w:rStyle w:val="VerbatimChar"/>
        </w:rPr>
        <w:t xml:space="preserve">TYPE = E</w:t>
      </w:r>
      <w:r>
        <w:t xml:space="preserve"> </w:t>
      </w:r>
      <w:r>
        <w:t xml:space="preserve">(para usuarios humanos de Azure AD) a</w:t>
      </w:r>
      <w:r>
        <w:t xml:space="preserve"> </w:t>
      </w:r>
      <w:r>
        <w:rPr>
          <w:rStyle w:val="VerbatimChar"/>
        </w:rPr>
        <w:t xml:space="preserve">TYPE = X</w:t>
      </w:r>
      <w:r>
        <w:t xml:space="preserve"> </w:t>
      </w:r>
      <w:r>
        <w:t xml:space="preserve">(correcto para identidades administradas/service principals) — el error persistió idéntico.</w:t>
      </w:r>
      <w:r>
        <w:t xml:space="preserve"> </w:t>
      </w:r>
      <w:r>
        <w:t xml:space="preserve">- Se verificó exhaustivamente que todo coincidiera: el token generado por la identidad tenía el</w:t>
      </w:r>
      <w:r>
        <w:t xml:space="preserve"> </w:t>
      </w:r>
      <w:r>
        <w:rPr>
          <w:rStyle w:val="VerbatimChar"/>
        </w:rPr>
        <w:t xml:space="preserve">oid</w:t>
      </w:r>
      <w:r>
        <w:t xml:space="preserve"> </w:t>
      </w:r>
      <w:r>
        <w:t xml:space="preserve">correcto, el SID en SQL coincidía exactamente, el tipo de principal era el correcto — sin encontrar la causa exacta. Muy probablemente seguía siendo la falta del permiso Directory Readers, manifestándose de una forma distinta a la esperada.</w:t>
      </w:r>
    </w:p>
    <w:p>
      <w:pPr>
        <w:pStyle w:val="BodyText"/>
      </w:pPr>
      <w:r>
        <w:rPr>
          <w:bCs/>
          <w:b/>
        </w:rPr>
        <w:t xml:space="preserve">Decisión:</w:t>
      </w:r>
      <w:r>
        <w:t xml:space="preserve"> </w:t>
      </w:r>
      <w:r>
        <w:t xml:space="preserve">abandonar identidad administrada para esta conexión específica. Usar un</w:t>
      </w:r>
      <w:r>
        <w:t xml:space="preserve"> </w:t>
      </w:r>
      <w:r>
        <w:rPr>
          <w:bCs/>
          <w:b/>
        </w:rPr>
        <w:t xml:space="preserve">login SQL tradicional</w:t>
      </w:r>
      <w:r>
        <w:t xml:space="preserve"> </w:t>
      </w:r>
      <w:r>
        <w:t xml:space="preserve">(usuario/contraseña,</w:t>
      </w:r>
      <w:r>
        <w:t xml:space="preserve"> </w:t>
      </w:r>
      <w:r>
        <w:rPr>
          <w:rStyle w:val="VerbatimChar"/>
        </w:rPr>
        <w:t xml:space="preserve">vm_ecm_service</w:t>
      </w:r>
      <w:r>
        <w:t xml:space="preserve">), igual que ya se hacía para SIS2. Simple, sin dependencias de permisos de Azure AD, y suficiente para el caso de uso.</w:t>
      </w:r>
    </w:p>
    <w:p>
      <w:pPr>
        <w:pStyle w:val="BodyText"/>
      </w:pPr>
      <w:r>
        <w:rPr>
          <w:bCs/>
          <w:b/>
        </w:rPr>
        <w:t xml:space="preserve">Problema adicional resuelto en el camino:</w:t>
      </w:r>
      <w:r>
        <w:t xml:space="preserve"> </w:t>
      </w:r>
      <w:r>
        <w:t xml:space="preserve">al crear la tabla la primera vez, el usuario de servicio no tenía permiso</w:t>
      </w:r>
      <w:r>
        <w:t xml:space="preserve"> </w:t>
      </w:r>
      <w:r>
        <w:rPr>
          <w:rStyle w:val="VerbatimChar"/>
        </w:rPr>
        <w:t xml:space="preserve">CREATE TABLE</w:t>
      </w:r>
      <w:r>
        <w:t xml:space="preserve"> </w:t>
      </w:r>
      <w:r>
        <w:t xml:space="preserve">(</w:t>
      </w:r>
      <w:r>
        <w:rPr>
          <w:rStyle w:val="VerbatimChar"/>
        </w:rPr>
        <w:t xml:space="preserve">db_datawriter</w:t>
      </w:r>
      <w:r>
        <w:t xml:space="preserve"> </w:t>
      </w:r>
      <w:r>
        <w:t xml:space="preserve">solo cubre filas, no estructura) — se resolvió teniendo un administrador de la base de datos creando la tabla manualmente una sola vez, dejando al usuario de servicio con permisos mínimos (</w:t>
      </w:r>
      <w:r>
        <w:rPr>
          <w:rStyle w:val="VerbatimChar"/>
        </w:rPr>
        <w:t xml:space="preserve">db_datareader</w:t>
      </w:r>
      <w:r>
        <w:t xml:space="preserve">/</w:t>
      </w:r>
      <w:r>
        <w:rPr>
          <w:rStyle w:val="VerbatimChar"/>
        </w:rPr>
        <w:t xml:space="preserve">db_datawriter</w:t>
      </w:r>
      <w:r>
        <w:t xml:space="preserve">) sobre datos, no sobre estructura.</w:t>
      </w:r>
    </w:p>
    <w:bookmarkEnd w:id="25"/>
    <w:bookmarkStart w:id="26" w:name="Xd9a83bc3079e03e41f8316b07209cff363131c3"/>
    <w:p>
      <w:pPr>
        <w:pStyle w:val="Heading2"/>
      </w:pPr>
      <w:r>
        <w:t xml:space="preserve">Fase 7 — Automatización del ciclo completo (encendido, ejecución, apagado, notificación)</w:t>
      </w:r>
    </w:p>
    <w:p>
      <w:pPr>
        <w:pStyle w:val="FirstParagraph"/>
      </w:pPr>
      <w:r>
        <w:rPr>
          <w:bCs/>
          <w:b/>
        </w:rPr>
        <w:t xml:space="preserve">Intento 1 — Azure Automation Account con Runbook:</w:t>
      </w:r>
      <w:r>
        <w:t xml:space="preserve"> </w:t>
      </w:r>
      <w:r>
        <w:t xml:space="preserve">- Se creó una Automation Account con identidad administrada, con la idea de que un Runbook externo controlara todo el ciclo (encender VM → esperar → ejecutar el script en la VM vía</w:t>
      </w:r>
      <w:r>
        <w:t xml:space="preserve"> </w:t>
      </w:r>
      <w:r>
        <w:rPr>
          <w:rStyle w:val="VerbatimChar"/>
        </w:rPr>
        <w:t xml:space="preserve">Invoke-AzVMRunCommand</w:t>
      </w:r>
      <w:r>
        <w:t xml:space="preserve"> </w:t>
      </w:r>
      <w:r>
        <w:t xml:space="preserve">→ revisar resultado → notificar si falla → apagar siempre).</w:t>
      </w:r>
      <w:r>
        <w:t xml:space="preserve"> </w:t>
      </w:r>
      <w:r>
        <w:t xml:space="preserve">- Al intentar asignarle a esa identidad el rol</w:t>
      </w:r>
      <w:r>
        <w:t xml:space="preserve"> </w:t>
      </w:r>
      <w:r>
        <w:t xml:space="preserve">“</w:t>
      </w:r>
      <w:r>
        <w:t xml:space="preserve">Virtual Machine Contributor</w:t>
      </w:r>
      <w:r>
        <w:t xml:space="preserve">”</w:t>
      </w:r>
      <w:r>
        <w:t xml:space="preserve"> </w:t>
      </w:r>
      <w:r>
        <w:t xml:space="preserve">sobre la VM, apareció el mismo tipo de bloqueo de permisos ya visto antes en el proyecto (falta de rol</w:t>
      </w:r>
      <w:r>
        <w:t xml:space="preserve"> </w:t>
      </w:r>
      <w:r>
        <w:t xml:space="preserve">“</w:t>
      </w:r>
      <w:r>
        <w:t xml:space="preserve">Owner</w:t>
      </w:r>
      <w:r>
        <w:t xml:space="preserve">”</w:t>
      </w:r>
      <w:r>
        <w:t xml:space="preserve">/</w:t>
      </w:r>
      <w:r>
        <w:t xml:space="preserve">“</w:t>
      </w:r>
      <w:r>
        <w:t xml:space="preserve">User Access Administrator</w:t>
      </w:r>
      <w:r>
        <w:t xml:space="preserve">”</w:t>
      </w:r>
      <w:r>
        <w:t xml:space="preserve"> </w:t>
      </w:r>
      <w:r>
        <w:t xml:space="preserve">para poder asignar roles) — no se pudo completar sin pedir ese permiso puntual a otra persona.</w:t>
      </w:r>
    </w:p>
    <w:p>
      <w:pPr>
        <w:pStyle w:val="BodyText"/>
      </w:pPr>
      <w:r>
        <w:rPr>
          <w:bCs/>
          <w:b/>
        </w:rPr>
        <w:t xml:space="preserve">Decisión (cambio de estrategia):</w:t>
      </w:r>
      <w:r>
        <w:t xml:space="preserve"> </w:t>
      </w:r>
      <w:r>
        <w:t xml:space="preserve">en vez de perseguir ese permiso, se descubrió que el propio blade de la VM en el Portal de Azure tiene una funcionalidad de</w:t>
      </w:r>
      <w:r>
        <w:t xml:space="preserve"> </w:t>
      </w:r>
      <w:r>
        <w:rPr>
          <w:bCs/>
          <w:b/>
        </w:rPr>
        <w:t xml:space="preserve">“</w:t>
      </w:r>
      <w:r>
        <w:rPr>
          <w:bCs/>
          <w:b/>
        </w:rPr>
        <w:t xml:space="preserve">Tasks</w:t>
      </w:r>
      <w:r>
        <w:rPr>
          <w:bCs/>
          <w:b/>
        </w:rPr>
        <w:t xml:space="preserve">”</w:t>
      </w:r>
      <w:r>
        <w:t xml:space="preserve"> </w:t>
      </w:r>
      <w:r>
        <w:t xml:space="preserve">que permite programar el encendido/apagado directamente, sin necesitar una Automation Account aparte ni el permiso bloqueado (ya que el usuario administra su propia VM directamente). Se usaron esas Tasks nativas para</w:t>
      </w:r>
      <w:r>
        <w:t xml:space="preserve"> </w:t>
      </w:r>
      <w:r>
        <w:rPr>
          <w:rStyle w:val="VerbatimChar"/>
        </w:rPr>
        <w:t xml:space="preserve">start_vm</w:t>
      </w:r>
      <w:r>
        <w:t xml:space="preserve"> </w:t>
      </w:r>
      <w:r>
        <w:t xml:space="preserve">(3:00 AM) y</w:t>
      </w:r>
      <w:r>
        <w:t xml:space="preserve"> </w:t>
      </w:r>
      <w:r>
        <w:rPr>
          <w:rStyle w:val="VerbatimChar"/>
        </w:rPr>
        <w:t xml:space="preserve">stop_vm</w:t>
      </w:r>
      <w:r>
        <w:t xml:space="preserve"> </w:t>
      </w:r>
      <w:r>
        <w:t xml:space="preserve">(4:00 AM), dejando la Automation Account sin uso (pendiente de eliminar como limpieza de recursos).</w:t>
      </w:r>
    </w:p>
    <w:p>
      <w:pPr>
        <w:pStyle w:val="BodyText"/>
      </w:pPr>
      <w:r>
        <w:rPr>
          <w:bCs/>
          <w:b/>
        </w:rPr>
        <w:t xml:space="preserve">Ejecución interna (Task Scheduler de Windows), problemas encontrados:</w:t>
      </w:r>
    </w:p>
    <w:p>
      <w:pPr>
        <w:numPr>
          <w:ilvl w:val="0"/>
          <w:numId w:val="1006"/>
        </w:numPr>
        <w:pStyle w:val="Compact"/>
      </w:pPr>
      <w:r>
        <w:rPr>
          <w:rStyle w:val="VerbatimChar"/>
          <w:bCs/>
          <w:b/>
        </w:rPr>
        <w:t xml:space="preserve">A specified logon session does not exist</w:t>
      </w:r>
      <w:r>
        <w:t xml:space="preserve"> </w:t>
      </w:r>
      <w:r>
        <w:t xml:space="preserve">al intentar guardar/ejecutar la tarea con</w:t>
      </w:r>
      <w:r>
        <w:t xml:space="preserve"> </w:t>
      </w:r>
      <w:r>
        <w:t xml:space="preserve">“</w:t>
      </w:r>
      <w:r>
        <w:t xml:space="preserve">Run whether user is logged on or not</w:t>
      </w:r>
      <w:r>
        <w:t xml:space="preserve">”</w:t>
      </w:r>
      <w:r>
        <w:t xml:space="preserve">, tanto con la cuenta personal del usuario como con</w:t>
      </w:r>
      <w:r>
        <w:t xml:space="preserve"> </w:t>
      </w:r>
      <w:r>
        <w:rPr>
          <w:rStyle w:val="VerbatimChar"/>
        </w:rPr>
        <w:t xml:space="preserve">SYSTEM</w:t>
      </w:r>
      <w:r>
        <w:t xml:space="preserve">. Se verificó que el permiso</w:t>
      </w:r>
      <w:r>
        <w:t xml:space="preserve"> </w:t>
      </w:r>
      <w:r>
        <w:t xml:space="preserve">“</w:t>
      </w:r>
      <w:r>
        <w:t xml:space="preserve">Log on as a batch job</w:t>
      </w:r>
      <w:r>
        <w:t xml:space="preserve">”</w:t>
      </w:r>
      <w:r>
        <w:t xml:space="preserve"> </w:t>
      </w:r>
      <w:r>
        <w:t xml:space="preserve">sí estaba correctamente asignado (</w:t>
      </w:r>
      <w:r>
        <w:rPr>
          <w:rStyle w:val="VerbatimChar"/>
        </w:rPr>
        <w:t xml:space="preserve">secpol.msc</w:t>
      </w:r>
      <w:r>
        <w:t xml:space="preserve">) — no era un problema de permisos faltantes.</w:t>
      </w:r>
    </w:p>
    <w:p>
      <w:pPr>
        <w:numPr>
          <w:ilvl w:val="0"/>
          <w:numId w:val="1006"/>
        </w:numPr>
        <w:pStyle w:val="Compact"/>
      </w:pPr>
      <w:r>
        <w:rPr>
          <w:rStyle w:val="VerbatimChar"/>
          <w:bCs/>
          <w:b/>
        </w:rPr>
        <w:t xml:space="preserve">CMDKEY: Credentials cannot be saved from this logon session</w:t>
      </w:r>
      <w:r>
        <w:t xml:space="preserve"> </w:t>
      </w:r>
      <w:r>
        <w:t xml:space="preserve">al intentar guardar la contraseña explícitamente en el Credential Manager de Windows — confirmó que el problema es una</w:t>
      </w:r>
      <w:r>
        <w:t xml:space="preserve"> </w:t>
      </w:r>
      <w:r>
        <w:rPr>
          <w:bCs/>
          <w:b/>
        </w:rPr>
        <w:t xml:space="preserve">limitación conocida de Windows con cuentas de Azure AD/Entra ID</w:t>
      </w:r>
      <w:r>
        <w:t xml:space="preserve"> </w:t>
      </w:r>
      <w:r>
        <w:t xml:space="preserve">en el mecanismo de</w:t>
      </w:r>
      <w:r>
        <w:t xml:space="preserve"> </w:t>
      </w:r>
      <w:r>
        <w:t xml:space="preserve">“</w:t>
      </w:r>
      <w:r>
        <w:t xml:space="preserve">batch logon</w:t>
      </w:r>
      <w:r>
        <w:t xml:space="preserve">”</w:t>
      </w:r>
      <w:r>
        <w:t xml:space="preserve">, no algo mal configurado.</w:t>
      </w:r>
    </w:p>
    <w:p>
      <w:pPr>
        <w:numPr>
          <w:ilvl w:val="0"/>
          <w:numId w:val="1006"/>
        </w:numPr>
        <w:pStyle w:val="Compact"/>
      </w:pPr>
      <w:r>
        <w:rPr>
          <w:bCs/>
          <w:b/>
        </w:rPr>
        <w:t xml:space="preserve">Decisión:</w:t>
      </w:r>
      <w:r>
        <w:t xml:space="preserve"> </w:t>
      </w:r>
      <w:r>
        <w:t xml:space="preserve">en vez de depender del mecanismo de batch logon (roto para este tipo de cuenta), se configuró</w:t>
      </w:r>
      <w:r>
        <w:t xml:space="preserve"> </w:t>
      </w:r>
      <w:r>
        <w:rPr>
          <w:bCs/>
          <w:b/>
        </w:rPr>
        <w:t xml:space="preserve">auto-login de Windows</w:t>
      </w:r>
      <w:r>
        <w:t xml:space="preserve"> </w:t>
      </w:r>
      <w:r>
        <w:t xml:space="preserve">vía registro (</w:t>
      </w:r>
      <w:r>
        <w:rPr>
          <w:rStyle w:val="VerbatimChar"/>
        </w:rPr>
        <w:t xml:space="preserve">AutoAdminLogon</w:t>
      </w:r>
      <w:r>
        <w:t xml:space="preserve">), y la tarea se configuró como</w:t>
      </w:r>
      <w:r>
        <w:t xml:space="preserve"> </w:t>
      </w:r>
      <w:r>
        <w:rPr>
          <w:bCs/>
          <w:b/>
        </w:rPr>
        <w:t xml:space="preserve">“</w:t>
      </w:r>
      <w:r>
        <w:rPr>
          <w:bCs/>
          <w:b/>
        </w:rPr>
        <w:t xml:space="preserve">Run only when user is logged on</w:t>
      </w:r>
      <w:r>
        <w:rPr>
          <w:bCs/>
          <w:b/>
        </w:rPr>
        <w:t xml:space="preserve">”</w:t>
      </w:r>
      <w:r>
        <w:t xml:space="preserve"> </w:t>
      </w:r>
      <w:r>
        <w:t xml:space="preserve">— aprovechando que el auto-login mantiene una sesión de escritorio real abierta desde el arranque, sin necesitar el mecanismo de batch logon en absoluto.</w:t>
      </w:r>
    </w:p>
    <w:p>
      <w:pPr>
        <w:numPr>
          <w:ilvl w:val="0"/>
          <w:numId w:val="1006"/>
        </w:numPr>
        <w:pStyle w:val="Compact"/>
      </w:pPr>
      <w:r>
        <w:rPr>
          <w:bCs/>
          <w:b/>
        </w:rPr>
        <w:t xml:space="preserve">Falsa alarma al probar:</w:t>
      </w:r>
      <w:r>
        <w:t xml:space="preserve"> </w:t>
      </w:r>
      <w:r>
        <w:t xml:space="preserve">tras reiniciar la VM para configurar el auto-login, una prueba mostró</w:t>
      </w:r>
      <w:r>
        <w:t xml:space="preserve"> </w:t>
      </w:r>
      <w:r>
        <w:t xml:space="preserve">“</w:t>
      </w:r>
      <w:r>
        <w:t xml:space="preserve">0 filas exitosas, 359 con error</w:t>
      </w:r>
      <w:r>
        <w:t xml:space="preserve">”</w:t>
      </w:r>
      <w:r>
        <w:t xml:space="preserve"> </w:t>
      </w:r>
      <w:r>
        <w:t xml:space="preserve">en el login a SIS2 — muy similar al patrón de la Fase 3. Se investigó con diagnóstico reactivado (URL, título, cookies, captura de pantalla al momento del timeout), pero antes de completar el diagnóstico, pruebas posteriores (disparando la tarea manualmente varias veces, y luego la prueba definitiva de apagar/encender la VM desde Azure en frío sin RDP activo) mostraron</w:t>
      </w:r>
      <w:r>
        <w:t xml:space="preserve"> </w:t>
      </w:r>
      <w:r>
        <w:rPr>
          <w:bCs/>
          <w:b/>
        </w:rPr>
        <w:t xml:space="preserve">funcionamiento perfecto y consistente</w:t>
      </w:r>
      <w:r>
        <w:t xml:space="preserve">. Se concluyó que fue un evento transitorio asociado al reinicio manual específico (posible inestabilidad momentánea de red/DNS justo tras el reinicio), no un problema estructural — quedó como riesgo documentado, no resuelto de raíz, con una mitigación de detección: el código ahora termina con código de salida distinto de cero si el conteo de éxitos es cero, lo cual dispara la notificación de Teams si volviera a ocurrir.</w:t>
      </w:r>
    </w:p>
    <w:bookmarkEnd w:id="26"/>
    <w:bookmarkStart w:id="27" w:name="fase-8-notificaciones-a-microsoft-teams"/>
    <w:p>
      <w:pPr>
        <w:pStyle w:val="Heading2"/>
      </w:pPr>
      <w:r>
        <w:t xml:space="preserve">Fase 8 — Notificaciones a Microsoft Teams</w:t>
      </w:r>
    </w:p>
    <w:p>
      <w:pPr>
        <w:numPr>
          <w:ilvl w:val="0"/>
          <w:numId w:val="1007"/>
        </w:numPr>
        <w:pStyle w:val="Compact"/>
      </w:pPr>
      <w:r>
        <w:t xml:space="preserve">Se creó un flujo de Power Automate con trigger de webhook (mismo patrón ya usado en otro proyecto de la organización,</w:t>
      </w:r>
      <w:r>
        <w:t xml:space="preserve"> </w:t>
      </w:r>
      <w:r>
        <w:t xml:space="preserve">“</w:t>
      </w:r>
      <w:r>
        <w:t xml:space="preserve">ECM Bronze</w:t>
      </w:r>
      <w:r>
        <w:t xml:space="preserve">”</w:t>
      </w:r>
      <w:r>
        <w:t xml:space="preserve">), con pasos: recibir webhook → Parse JSON → Publicar mensaje en un chat o canal.</w:t>
      </w:r>
    </w:p>
    <w:p>
      <w:pPr>
        <w:numPr>
          <w:ilvl w:val="0"/>
          <w:numId w:val="1007"/>
        </w:numPr>
        <w:pStyle w:val="Compact"/>
      </w:pPr>
      <w:r>
        <w:t xml:space="preserve">El script (</w:t>
      </w:r>
      <w:r>
        <w:rPr>
          <w:rStyle w:val="VerbatimChar"/>
        </w:rPr>
        <w:t xml:space="preserve">ejecutar_ecm.ps1</w:t>
      </w:r>
      <w:r>
        <w:t xml:space="preserve">) hace un POST a ese webhook al final de cada corrida.</w:t>
      </w:r>
    </w:p>
    <w:p>
      <w:pPr>
        <w:numPr>
          <w:ilvl w:val="0"/>
          <w:numId w:val="1007"/>
        </w:numPr>
        <w:pStyle w:val="Compact"/>
      </w:pPr>
      <w:r>
        <w:rPr>
          <w:bCs/>
          <w:b/>
        </w:rPr>
        <w:t xml:space="preserve">Decisión de diseño evolucionada durante el proyecto:</w:t>
      </w:r>
      <w:r>
        <w:t xml:space="preserve"> </w:t>
      </w:r>
      <w:r>
        <w:t xml:space="preserve">inicialmente se planeó notificar solo ante fallas; posteriormente, a pedido explícito, se cambió para notificar</w:t>
      </w:r>
      <w:r>
        <w:t xml:space="preserve"> </w:t>
      </w:r>
      <w:r>
        <w:rPr>
          <w:bCs/>
          <w:b/>
        </w:rPr>
        <w:t xml:space="preserve">siempre</w:t>
      </w:r>
      <w:r>
        <w:t xml:space="preserve"> </w:t>
      </w:r>
      <w:r>
        <w:t xml:space="preserve">(éxito y falla), incluyendo un resumen real de las últimas líneas del log en el mensaje — dando visibilidad completa del estado de cada corrida, no solo de los problemas.</w:t>
      </w:r>
    </w:p>
    <w:bookmarkEnd w:id="27"/>
    <w:bookmarkStart w:id="28" w:name="X66f1048e1df1f7c8f3ea6c448b14ce5e59eb088"/>
    <w:p>
      <w:pPr>
        <w:pStyle w:val="Heading2"/>
      </w:pPr>
      <w:r>
        <w:t xml:space="preserve">Resumen de aprendizajes clave (para no repetir)</w:t>
      </w:r>
    </w:p>
    <w:p>
      <w:pPr>
        <w:numPr>
          <w:ilvl w:val="0"/>
          <w:numId w:val="1008"/>
        </w:numPr>
        <w:pStyle w:val="Compact"/>
      </w:pPr>
      <w:r>
        <w:rPr>
          <w:bCs/>
          <w:b/>
        </w:rPr>
        <w:t xml:space="preserve">Un mismo código puede comportarse de forma completamente distinta según el entorno de ejecución</w:t>
      </w:r>
      <w:r>
        <w:t xml:space="preserve"> </w:t>
      </w:r>
      <w:r>
        <w:t xml:space="preserve">(contenedor Linux headless vs. VM Windows nativa) frente a sistemas de detección de automatización/riesgo — no asumir que</w:t>
      </w:r>
      <w:r>
        <w:t xml:space="preserve"> </w:t>
      </w:r>
      <w:r>
        <w:t xml:space="preserve">“</w:t>
      </w:r>
      <w:r>
        <w:t xml:space="preserve">si funciona en un entorno, funciona en todos</w:t>
      </w:r>
      <w:r>
        <w:t xml:space="preserve">”</w:t>
      </w:r>
      <w:r>
        <w:t xml:space="preserve">.</w:t>
      </w:r>
    </w:p>
    <w:p>
      <w:pPr>
        <w:numPr>
          <w:ilvl w:val="0"/>
          <w:numId w:val="1008"/>
        </w:numPr>
        <w:pStyle w:val="Compact"/>
      </w:pPr>
      <w:r>
        <w:rPr>
          <w:bCs/>
          <w:b/>
        </w:rPr>
        <w:t xml:space="preserve">Las cuentas de Azure AD/Entra ID tienen limitaciones no obvias</w:t>
      </w:r>
      <w:r>
        <w:t xml:space="preserve"> </w:t>
      </w:r>
      <w:r>
        <w:t xml:space="preserve">en mecanismos clásicos de Windows como</w:t>
      </w:r>
      <w:r>
        <w:t xml:space="preserve"> </w:t>
      </w:r>
      <w:r>
        <w:t xml:space="preserve">“</w:t>
      </w:r>
      <w:r>
        <w:t xml:space="preserve">batch logon</w:t>
      </w:r>
      <w:r>
        <w:t xml:space="preserve">”</w:t>
      </w:r>
      <w:r>
        <w:t xml:space="preserve"> </w:t>
      </w:r>
      <w:r>
        <w:t xml:space="preserve">y</w:t>
      </w:r>
      <w:r>
        <w:t xml:space="preserve"> </w:t>
      </w:r>
      <w:r>
        <w:rPr>
          <w:rStyle w:val="VerbatimChar"/>
        </w:rPr>
        <w:t xml:space="preserve">cmdkey</w:t>
      </w:r>
      <w:r>
        <w:t xml:space="preserve"> </w:t>
      </w:r>
      <w:r>
        <w:t xml:space="preserve">— si aparecen errores de</w:t>
      </w:r>
      <w:r>
        <w:t xml:space="preserve"> </w:t>
      </w:r>
      <w:r>
        <w:t xml:space="preserve">“</w:t>
      </w:r>
      <w:r>
        <w:t xml:space="preserve">logon session</w:t>
      </w:r>
      <w:r>
        <w:t xml:space="preserve">”</w:t>
      </w:r>
      <w:r>
        <w:t xml:space="preserve"> </w:t>
      </w:r>
      <w:r>
        <w:t xml:space="preserve">con este tipo de cuenta, sospechar de esto antes que de una mala configuración de permisos.</w:t>
      </w:r>
    </w:p>
    <w:p>
      <w:pPr>
        <w:numPr>
          <w:ilvl w:val="0"/>
          <w:numId w:val="1008"/>
        </w:numPr>
        <w:pStyle w:val="Compact"/>
      </w:pPr>
      <w:r>
        <w:rPr>
          <w:bCs/>
          <w:b/>
        </w:rPr>
        <w:t xml:space="preserve">Identidad administrada para Azure SQL requiere el permiso</w:t>
      </w:r>
      <w:r>
        <w:rPr>
          <w:bCs/>
          <w:b/>
        </w:rPr>
        <w:t xml:space="preserve"> </w:t>
      </w:r>
      <w:r>
        <w:rPr>
          <w:bCs/>
          <w:b/>
        </w:rPr>
        <w:t xml:space="preserve">“</w:t>
      </w:r>
      <w:r>
        <w:rPr>
          <w:bCs/>
          <w:b/>
        </w:rPr>
        <w:t xml:space="preserve">Directory Readers</w:t>
      </w:r>
      <w:r>
        <w:rPr>
          <w:bCs/>
          <w:b/>
        </w:rPr>
        <w:t xml:space="preserve">”</w:t>
      </w:r>
      <w:r>
        <w:rPr>
          <w:bCs/>
          <w:b/>
        </w:rPr>
        <w:t xml:space="preserve"> </w:t>
      </w:r>
      <w:r>
        <w:rPr>
          <w:bCs/>
          <w:b/>
        </w:rPr>
        <w:t xml:space="preserve">en el servidor</w:t>
      </w:r>
      <w:r>
        <w:t xml:space="preserve">, que no siempre está disponible — tener un plan B (login SQL tradicional) listo si ese permiso no se puede conseguir rápido.</w:t>
      </w:r>
    </w:p>
    <w:p>
      <w:pPr>
        <w:numPr>
          <w:ilvl w:val="0"/>
          <w:numId w:val="1008"/>
        </w:numPr>
        <w:pStyle w:val="Compact"/>
      </w:pPr>
      <w:r>
        <w:rPr>
          <w:bCs/>
          <w:b/>
        </w:rPr>
        <w:t xml:space="preserve">Comparar datos entre dos fuentes distintas (API vs. base de datos) requiere normalizar tipos explícitamente</w:t>
      </w:r>
      <w:r>
        <w:t xml:space="preserve"> </w:t>
      </w:r>
      <w:r>
        <w:t xml:space="preserve">— un</w:t>
      </w:r>
      <w:r>
        <w:t xml:space="preserve"> </w:t>
      </w:r>
      <w:r>
        <w:rPr>
          <w:rStyle w:val="VerbatimChar"/>
        </w:rPr>
        <w:t xml:space="preserve">bool</w:t>
      </w:r>
      <w:r>
        <w:t xml:space="preserve"> </w:t>
      </w:r>
      <w:r>
        <w:t xml:space="preserve">de Python y un</w:t>
      </w:r>
      <w:r>
        <w:t xml:space="preserve"> </w:t>
      </w:r>
      <w:r>
        <w:rPr>
          <w:rStyle w:val="VerbatimChar"/>
        </w:rPr>
        <w:t xml:space="preserve">NVARCHAR</w:t>
      </w:r>
      <w:r>
        <w:t xml:space="preserve"> </w:t>
      </w:r>
      <w:r>
        <w:t xml:space="preserve">de SQL nunca van a compararse igual sin conversión.</w:t>
      </w:r>
    </w:p>
    <w:p>
      <w:pPr>
        <w:numPr>
          <w:ilvl w:val="0"/>
          <w:numId w:val="1008"/>
        </w:numPr>
        <w:pStyle w:val="Compact"/>
      </w:pPr>
      <w:r>
        <w:rPr>
          <w:bCs/>
          <w:b/>
        </w:rPr>
        <w:t xml:space="preserve">Una clave de identidad de negocio debe reflejar la realidad de los datos</w:t>
      </w:r>
      <w:r>
        <w:t xml:space="preserve">, no una suposición conveniente —</w:t>
      </w:r>
      <w:r>
        <w:t xml:space="preserve"> </w:t>
      </w:r>
      <w:r>
        <w:t xml:space="preserve">“</w:t>
      </w:r>
      <w:r>
        <w:t xml:space="preserve">un nombre de ECM identifica a un ECM</w:t>
      </w:r>
      <w:r>
        <w:t xml:space="preserve">”</w:t>
      </w:r>
      <w:r>
        <w:t xml:space="preserve"> </w:t>
      </w:r>
      <w:r>
        <w:t xml:space="preserve">resultó falso en la práctica.</w:t>
      </w:r>
    </w:p>
    <w:p>
      <w:pPr>
        <w:numPr>
          <w:ilvl w:val="0"/>
          <w:numId w:val="1008"/>
        </w:numPr>
        <w:pStyle w:val="Compact"/>
      </w:pPr>
      <w:r>
        <w:rPr>
          <w:bCs/>
          <w:b/>
        </w:rPr>
        <w:t xml:space="preserve">Cuando un permiso de Azure está bloqueado, vale la pena buscar una funcionalidad nativa más simple</w:t>
      </w:r>
      <w:r>
        <w:t xml:space="preserve"> </w:t>
      </w:r>
      <w:r>
        <w:t xml:space="preserve">antes de asumir que se necesita ese permiso sí o sí (las</w:t>
      </w:r>
      <w:r>
        <w:t xml:space="preserve"> </w:t>
      </w:r>
      <w:r>
        <w:t xml:space="preserve">“</w:t>
      </w:r>
      <w:r>
        <w:t xml:space="preserve">Tasks</w:t>
      </w:r>
      <w:r>
        <w:t xml:space="preserve">”</w:t>
      </w:r>
      <w:r>
        <w:t xml:space="preserve"> </w:t>
      </w:r>
      <w:r>
        <w:t xml:space="preserve">del blade de la VM evitaron por completo la necesidad de una Automation Account con permisos de rol).</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2026-07-29T15:56:05Z</dcterms:created>
  <dcterms:modified xsi:type="dcterms:W3CDTF">2026-07-29T15:56:05Z</dcterms:modified>
</cp:coreProperties>
</file>

<file path=docProps/custom.xml><?xml version="1.0" encoding="utf-8"?>
<Properties xmlns="http://schemas.openxmlformats.org/officeDocument/2006/custom-properties" xmlns:vt="http://schemas.openxmlformats.org/officeDocument/2006/docPropsVTypes"/>
</file>