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ibliographie1"/>
        <w:bidi w:val="0"/>
        <w:jc w:val="left"/>
        <w:rPr/>
      </w:pPr>
      <w:r>
        <w:rPr/>
        <w:t>[1]</w:t>
        <w:tab/>
        <w:t xml:space="preserve">« ICANN History Project - ICANN ». </w:t>
      </w:r>
      <w:hyperlink r:id="rId2">
        <w:r>
          <w:rPr>
            <w:rStyle w:val="LienInternet"/>
          </w:rPr>
          <w:t>https://www.icann.org/history</w:t>
        </w:r>
      </w:hyperlink>
      <w:r>
        <w:rPr/>
        <w:t xml:space="preserve"> (consulté le déc. 07, 2020).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[2]</w:t>
        <w:tab/>
        <w:t xml:space="preserve">Internet Corporation for Assigned Names and Numbers , </w:t>
      </w:r>
      <w:r>
        <w:rPr>
          <w:i/>
        </w:rPr>
        <w:t>Wikipédia</w:t>
      </w:r>
      <w:r>
        <w:rPr/>
        <w:t xml:space="preserve">. sept. 18, 2020, Consulté le: déc. 07, 2020.  Disponible sur: </w:t>
      </w:r>
      <w:hyperlink r:id="rId3">
        <w:r>
          <w:rPr>
            <w:rStyle w:val="LienInternet"/>
          </w:rPr>
          <w:t>https://fr.wikipedia.org/w/index.php?title=Internet_Corporation_for_Assigned_Names_and_Numbers&amp;oldid=174810900</w:t>
        </w:r>
      </w:hyperlink>
      <w:r>
        <w:rPr/>
        <w:t>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[3]</w:t>
        <w:tab/>
        <w:t>« </w:t>
      </w:r>
      <w:r>
        <w:rPr>
          <w:rFonts w:cs="Arial"/>
        </w:rPr>
        <w:t xml:space="preserve">Quaterly </w:t>
      </w:r>
      <w:r>
        <w:rPr/>
        <w:t xml:space="preserve">report 8 may18  ». Consulté le: déc. 07, 2020. Disponible sur: </w:t>
      </w:r>
      <w:hyperlink r:id="rId4">
        <w:r>
          <w:rPr>
            <w:rStyle w:val="LienInternet"/>
          </w:rPr>
          <w:t>https://www.icann.org/en/system/files/files/quarterly-report-08may18-en.pdf</w:t>
        </w:r>
      </w:hyperlink>
      <w:r>
        <w:rPr/>
        <w:t>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[4]</w:t>
        <w:tab/>
        <w:t xml:space="preserve">D. Kehl, « L’avenir de l’Icann et la passionnante histoire des noms de domaine d’Internet », </w:t>
      </w:r>
      <w:r>
        <w:rPr>
          <w:i/>
        </w:rPr>
        <w:t>Slate.fr</w:t>
      </w:r>
      <w:r>
        <w:rPr/>
        <w:t xml:space="preserve">, mai 22, 2015. </w:t>
      </w:r>
      <w:hyperlink r:id="rId5">
        <w:r>
          <w:rPr>
            <w:rStyle w:val="LienInternet"/>
          </w:rPr>
          <w:t>http://www.slate.fr/story/101845/icann</w:t>
        </w:r>
      </w:hyperlink>
      <w:r>
        <w:rPr/>
        <w:t xml:space="preserve"> (consulté le déc. 07, 2020).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[5]</w:t>
        <w:tab/>
        <w:t xml:space="preserve">O. Iteanu, « L’Icann, un exemple de gouvernance originale ou un cas de law intelligence ? », </w:t>
      </w:r>
      <w:r>
        <w:rPr>
          <w:i/>
        </w:rPr>
        <w:t>Cah. Numer.</w:t>
      </w:r>
      <w:r>
        <w:rPr/>
        <w:t xml:space="preserve"> Vol. 3, n</w:t>
      </w:r>
      <w:r>
        <w:rPr>
          <w:vertAlign w:val="superscript"/>
        </w:rPr>
        <w:t>o</w:t>
      </w:r>
      <w:r>
        <w:rPr/>
        <w:t xml:space="preserve"> 2, p. 145</w:t>
        <w:noBreakHyphen/>
        <w:t xml:space="preserve">157, 2002. </w:t>
      </w:r>
      <w:hyperlink r:id="rId6">
        <w:r>
          <w:rPr>
            <w:rStyle w:val="LienInternet"/>
          </w:rPr>
          <w:t>https://www.cairn.info/revue-les-cahiers-du-numerique-2002-2-page-145.htm</w:t>
        </w:r>
      </w:hyperlink>
      <w:r>
        <w:rPr/>
        <w:t xml:space="preserve"> (consulté le déc. 07, 2020).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fr-FR" w:eastAsia="zh-CN" w:bidi="hi-IN"/>
        </w:rPr>
        <w:t>[6]</w:t>
      </w:r>
      <w:r>
        <w:rPr/>
        <w:tab/>
        <w:t>« IANA — Root Zone Database ».</w:t>
      </w:r>
      <w:hyperlink r:id="rId7">
        <w:r>
          <w:rPr>
            <w:rStyle w:val="LienInternet"/>
          </w:rPr>
          <w:t xml:space="preserve"> https://www.iana.org/domains/root/db</w:t>
        </w:r>
      </w:hyperlink>
      <w:r>
        <w:rPr/>
        <w:t xml:space="preserve"> (consulté le janv. 16, 2021).</w:t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fr-FR" w:eastAsia="zh-CN" w:bidi="hi-IN"/>
        </w:rPr>
        <w:t xml:space="preserve">[7]  </w:t>
      </w:r>
      <w:r>
        <w:rPr/>
        <w:t xml:space="preserve">« Amazon wins “.amazon” domain name, aggravating South American region and undermining digital commons », </w:t>
      </w:r>
      <w:r>
        <w:rPr>
          <w:i/>
        </w:rPr>
        <w:t>The Conversation</w:t>
      </w:r>
      <w:r>
        <w:rPr/>
        <w:t xml:space="preserve">. </w:t>
      </w:r>
      <w:hyperlink r:id="rId8">
        <w:r>
          <w:rPr>
            <w:rStyle w:val="LienInternet"/>
          </w:rPr>
          <w:t>http://theconversation.com/amazon-wins-amazon-domain-name-aggravating-south-american-region-and-undermining-digital-commons-118186</w:t>
        </w:r>
      </w:hyperlink>
      <w:r>
        <w:rPr/>
        <w:t xml:space="preserve"> (consulté le janv. 16, 2021).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[8]</w:t>
        <w:tab/>
        <w:t xml:space="preserve"> « « .wine » ou « .vin » : intense bataille autour des nouvelles adresses Internet », </w:t>
      </w:r>
      <w:r>
        <w:rPr>
          <w:i/>
        </w:rPr>
        <w:t>Le Monde.fr</w:t>
      </w:r>
      <w:r>
        <w:rPr/>
        <w:t xml:space="preserve">, nov. 17, 2014. </w:t>
      </w:r>
      <w:hyperlink r:id="rId9">
        <w:r>
          <w:rPr>
            <w:rStyle w:val="LienInternet"/>
          </w:rPr>
          <w:t>https://www.lemonde.fr/pixels/article/2014/11/17/wine-ou-vin-intense-bataille-autour-des-nouvelles-adresses-internet_4524888_4408996.html</w:t>
        </w:r>
      </w:hyperlink>
      <w:r>
        <w:rPr/>
        <w:t xml:space="preserve"> (consulté le déc. 07, 2020).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[9]</w:t>
        <w:tab/>
        <w:t xml:space="preserve"> « .patagonia — ICANNWiki ». </w:t>
      </w:r>
      <w:hyperlink r:id="rId10">
        <w:r>
          <w:rPr>
            <w:rStyle w:val="LienInternet"/>
          </w:rPr>
          <w:t>https://icannwiki.org/.patagonia</w:t>
        </w:r>
      </w:hyperlink>
      <w:r>
        <w:rPr/>
        <w:t xml:space="preserve"> (consulté le déc. 07, 2020).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[10]  « Le Vatican se dit opposé aux noms de domaine religieux »,</w:t>
      </w:r>
      <w:r>
        <w:rPr>
          <w:i/>
          <w:iCs/>
        </w:rPr>
        <w:t xml:space="preserve">Génération Nouvelles </w:t>
      </w:r>
      <w:r>
        <w:rPr>
          <w:i/>
          <w:iCs/>
          <w:u w:val="none"/>
        </w:rPr>
        <w:t>Technologies,</w:t>
      </w:r>
      <w:r>
        <w:rPr/>
        <w:t xml:space="preserve"> </w:t>
      </w:r>
      <w:hyperlink r:id="rId11">
        <w:r>
          <w:rPr>
            <w:rStyle w:val="LienInternet"/>
          </w:rPr>
          <w:t>https://www.generation-nt.com/icann-organisme-gestion-noms-domaine-religieux-opposition-vatican-actualite-244961.html</w:t>
        </w:r>
      </w:hyperlink>
      <w:r>
        <w:rPr/>
        <w:t xml:space="preserve"> (consulté le déc. 07, 2020). </w:t>
        <w:tab/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fr-FR" w:eastAsia="zh-CN" w:bidi="hi-IN"/>
        </w:rPr>
        <w:t xml:space="preserve">[11]  </w:t>
      </w:r>
      <w:r>
        <w:rPr/>
        <w:t xml:space="preserve">« ICANN Allows .COM Price Increases, Gets More Money - Namecheap Blog ». </w:t>
      </w:r>
      <w:hyperlink r:id="rId12">
        <w:r>
          <w:rPr>
            <w:rStyle w:val="LienInternet"/>
          </w:rPr>
          <w:t>https://www.namecheap.com/blog/icann-allows-com-price-increases-gets-more-money/</w:t>
        </w:r>
      </w:hyperlink>
      <w:r>
        <w:rPr/>
        <w:t xml:space="preserve"> (consulté le janv. 16, 2021).</w:t>
      </w:r>
    </w:p>
    <w:p>
      <w:pPr>
        <w:pStyle w:val="Bibliographie1"/>
        <w:bidi w:val="0"/>
        <w:ind w:left="384" w:right="0" w:hanging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[1</w:t>
      </w:r>
      <w:r>
        <w:rPr/>
        <w:t>2</w:t>
      </w:r>
      <w:r>
        <w:rPr/>
        <w:t xml:space="preserve">]  « L’AFNIC en bref - AFNIC ». </w:t>
      </w:r>
      <w:hyperlink r:id="rId13">
        <w:r>
          <w:rPr>
            <w:rStyle w:val="LienInternet"/>
          </w:rPr>
          <w:t>https://www.afnic.fr/fr/l-afnic-en-bref/</w:t>
        </w:r>
      </w:hyperlink>
      <w:r>
        <w:rPr/>
        <w:t xml:space="preserve"> (consulté le déc. 07, 2020).</w:t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[1</w:t>
      </w:r>
      <w:r>
        <w:rPr/>
        <w:t>3</w:t>
      </w:r>
      <w:r>
        <w:rPr/>
        <w:t xml:space="preserve">]  « Association française pour le nommage Internet en coopération », </w:t>
      </w:r>
      <w:r>
        <w:rPr>
          <w:i/>
        </w:rPr>
        <w:t>Wikipédia</w:t>
      </w:r>
      <w:r>
        <w:rPr/>
        <w:t xml:space="preserve">. nov. 14, 2020, Consulté le: déc. 07, 2020. Disponible sur: </w:t>
      </w:r>
      <w:hyperlink r:id="rId14">
        <w:r>
          <w:rPr>
            <w:rStyle w:val="LienInternet"/>
          </w:rPr>
          <w:t>https://fr.wikipedia.org/w/index.php?title=Association_fran%C3%A7aise_pour_le_nommage_Internet_en_coop%C3%A9ration&amp;oldid=176581811</w:t>
        </w:r>
      </w:hyperlink>
      <w:r>
        <w:rPr/>
        <w:t>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[1</w:t>
      </w:r>
      <w:r>
        <w:rPr/>
        <w:t>4</w:t>
      </w:r>
      <w:r>
        <w:rPr/>
        <w:t xml:space="preserve">]  « Charte de nommage de l’Afnic » </w:t>
      </w:r>
      <w:hyperlink r:id="rId15">
        <w:r>
          <w:rPr>
            <w:rStyle w:val="LienInternet"/>
          </w:rPr>
          <w:t>https://www.afnic.fr/medias/documents/Cadre_legal/Charte-de-nommage-Afnic-2020-04-07_VF.pdf</w:t>
        </w:r>
      </w:hyperlink>
      <w:r>
        <w:rPr/>
        <w:t>, p. 26, 2020.</w:t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bookmarkStart w:id="0" w:name="ZOTERO_BREF_ImyrNHn2KvhB"/>
      <w:r>
        <w:rPr/>
        <w:t>[1</w:t>
      </w:r>
      <w:r>
        <w:rPr/>
        <w:t>5</w:t>
      </w:r>
      <w:r>
        <w:rPr/>
        <w:t xml:space="preserve">]  « Termes soumis à examen préalable - AFNIC ». </w:t>
      </w:r>
      <w:hyperlink r:id="rId16">
        <w:r>
          <w:rPr>
            <w:rStyle w:val="LienInternet"/>
          </w:rPr>
          <w:t>https://www.afnic.fr/fr/ressources/documents-de-reference/chartes/termes-soumis-a-examen-prealable/</w:t>
        </w:r>
      </w:hyperlink>
      <w:r>
        <w:rPr/>
        <w:t xml:space="preserve"> (consulté le janv. 16, 2021).</w:t>
      </w:r>
      <w:bookmarkEnd w:id="0"/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  <w:t>[1</w:t>
      </w:r>
      <w:r>
        <w:rPr/>
        <w:t>6</w:t>
      </w:r>
      <w:r>
        <w:rPr/>
        <w:t xml:space="preserve">]  « Résoudre un Litige » </w:t>
      </w:r>
      <w:hyperlink r:id="rId17">
        <w:r>
          <w:rPr>
            <w:rStyle w:val="LienInternet"/>
          </w:rPr>
          <w:t>https://www.afnic.fr/medias/documents/RESOUDRE_UN_LITIGE/PARL/Reglement_PARL_vFR_22_03_2016.pdf</w:t>
        </w:r>
      </w:hyperlink>
      <w:r>
        <w:rPr/>
        <w:t xml:space="preserve"> (consulté le janv. 16, 2021).</w:t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[1</w:t>
      </w:r>
      <w:r>
        <w:rPr/>
        <w:t>7</w:t>
      </w:r>
      <w:r>
        <w:rPr/>
        <w:t xml:space="preserve">]   « Transfert contraint du nom de domaine d’un site internet contraire à une marque notoire ou renommée - Légavox ». </w:t>
      </w:r>
      <w:hyperlink r:id="rId18">
        <w:r>
          <w:rPr>
            <w:rStyle w:val="LienInternet"/>
          </w:rPr>
          <w:t>http://www.legavox.fr/blog/maitre-anthony-bem/transfert-contraint-domaine-site-internet-15896.htm</w:t>
        </w:r>
      </w:hyperlink>
      <w:r>
        <w:rPr/>
        <w:t xml:space="preserve"> (consulté le déc. 07, 2020).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  <w:t>[1</w:t>
      </w:r>
      <w:r>
        <w:rPr/>
        <w:t>8</w:t>
      </w:r>
      <w:r>
        <w:rPr/>
        <w:t xml:space="preserve">]  « Communiqué de presse : Assouplissement du .fr dès le 11 mai 2004 ». </w:t>
      </w:r>
      <w:hyperlink r:id="rId19">
        <w:r>
          <w:rPr>
            <w:rStyle w:val="LienInternet"/>
          </w:rPr>
          <w:t>https://www.afnic.fr/fr/l-afnic-en-bref/actualites/actualites-generales/2467/show/communique-de-presse-assouplissement-du-fr-des-le-11-mai-2004.html</w:t>
        </w:r>
      </w:hyperlink>
      <w:r>
        <w:rPr/>
        <w:t xml:space="preserve"> (consulté le déc. 07, 2020).</w:t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  <w:t>[</w:t>
      </w:r>
      <w:r>
        <w:rPr/>
        <w:t>19</w:t>
      </w:r>
      <w:r>
        <w:rPr/>
        <w:t>] « Décision de l’AFNIC sur Sanofi »</w:t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  <w:t>« </w:t>
      </w:r>
      <w:hyperlink r:id="rId20" w:tgtFrame="_blank">
        <w:r>
          <w:rPr>
            <w:rStyle w:val="LienInternet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4"/>
            <w:u w:val="none"/>
            <w:effect w:val="none"/>
          </w:rPr>
          <w:t>https://parl-expert.fr/attachment/get/5f6de1c406b09_Decision%20EXPERT-2020-00782%20sanofivaccincovid19.fr.pdf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 » (consulté le janv. 16, 2021).</w:t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r>
    </w:p>
    <w:p>
      <w:pPr>
        <w:pStyle w:val="Bibliographie1"/>
        <w:bidi w:val="0"/>
        <w:jc w:val="left"/>
        <w:rPr/>
      </w:pPr>
      <w:r>
        <w:rPr/>
        <w:t>[</w:t>
      </w:r>
      <w:r>
        <w:rPr/>
        <w:t>20</w:t>
      </w:r>
      <w:r>
        <w:rPr/>
        <w:t xml:space="preserve">]   G. Champeau, « La France déclare officiellement la guerre à l’ICANN », </w:t>
      </w:r>
      <w:r>
        <w:rPr>
          <w:i/>
        </w:rPr>
        <w:t>Numerama</w:t>
      </w:r>
      <w:r>
        <w:rPr/>
        <w:t xml:space="preserve">, juin 26, 2014. </w:t>
      </w:r>
      <w:hyperlink r:id="rId21">
        <w:r>
          <w:rPr>
            <w:rStyle w:val="LienInternet"/>
          </w:rPr>
          <w:t>https://www.numerama.com/magazine/29816-la-france-declare-officiellement-la-guerre-a-l-icann.html</w:t>
        </w:r>
      </w:hyperlink>
      <w:r>
        <w:rPr/>
        <w:t xml:space="preserve"> (consulté le déc. 07, 2020).</w:t>
      </w:r>
    </w:p>
    <w:p>
      <w:pPr>
        <w:pStyle w:val="Bibliographie1"/>
        <w:bidi w:val="0"/>
        <w:jc w:val="left"/>
        <w:rPr/>
      </w:pPr>
      <w:r>
        <w:rPr/>
      </w:r>
    </w:p>
    <w:p>
      <w:pPr>
        <w:pStyle w:val="Bibliographie1"/>
        <w:bidi w:val="0"/>
        <w:jc w:val="left"/>
        <w:rPr/>
      </w:pPr>
      <w:r>
        <w:rPr/>
        <w:t>[</w:t>
      </w:r>
      <w:r>
        <w:rPr/>
        <w:t>21</w:t>
      </w:r>
      <w:r>
        <w:rPr/>
        <w:t xml:space="preserve">]  « Préparatifs pour l’acceptation universelle à Wuzhen, Chine ». </w:t>
      </w:r>
      <w:hyperlink r:id="rId22">
        <w:r>
          <w:rPr>
            <w:rStyle w:val="LienInternet"/>
          </w:rPr>
          <w:t>https://www.icann.org/news/blog/preparatifs-pour-l-acceptation-universelle-a-wuzhen-chine</w:t>
        </w:r>
      </w:hyperlink>
      <w:r>
        <w:rPr/>
        <w:t xml:space="preserve"> (consulté le déc. 07, 2020).</w:t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/>
      </w:pPr>
      <w:r>
        <w:rPr/>
      </w:r>
    </w:p>
    <w:p>
      <w:pPr>
        <w:pStyle w:val="Bibliographie1"/>
        <w:bidi w:val="0"/>
        <w:spacing w:lineRule="atLeast" w:line="240" w:before="0" w:after="0"/>
        <w:ind w:left="384" w:right="0" w:hanging="384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ibliographie1">
    <w:name w:val="Bibliographie 1"/>
    <w:basedOn w:val="Index"/>
    <w:qFormat/>
    <w:pPr>
      <w:tabs>
        <w:tab w:val="clear" w:pos="720"/>
        <w:tab w:val="left" w:pos="384" w:leader="none"/>
      </w:tabs>
      <w:spacing w:lineRule="atLeast" w:line="240" w:before="0" w:after="0"/>
      <w:ind w:left="384" w:right="0" w:hanging="384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cann.org/history" TargetMode="External"/><Relationship Id="rId3" Type="http://schemas.openxmlformats.org/officeDocument/2006/relationships/hyperlink" Target="https://fr.wikipedia.org/w/index.php?title=Internet_Corporation_for_Assigned_Names_and_Numbers&amp;oldid=174810900" TargetMode="External"/><Relationship Id="rId4" Type="http://schemas.openxmlformats.org/officeDocument/2006/relationships/hyperlink" Target="https://www.icann.org/en/system/files/files/quarterly-report-08may18-en.pdf" TargetMode="External"/><Relationship Id="rId5" Type="http://schemas.openxmlformats.org/officeDocument/2006/relationships/hyperlink" Target="http://www.slate.fr/story/101845/icann" TargetMode="External"/><Relationship Id="rId6" Type="http://schemas.openxmlformats.org/officeDocument/2006/relationships/hyperlink" Target="https://www.cairn.info/revue-les-cahiers-du-numerique-2002-2-page-145.htm" TargetMode="External"/><Relationship Id="rId7" Type="http://schemas.openxmlformats.org/officeDocument/2006/relationships/hyperlink" Target="https://www.iana.org/domains/root/db" TargetMode="External"/><Relationship Id="rId8" Type="http://schemas.openxmlformats.org/officeDocument/2006/relationships/hyperlink" Target="http://theconversation.com/amazon-wins-amazon-domain-name-aggravating-south-american-region-and-undermining-digital-commons-118186" TargetMode="External"/><Relationship Id="rId9" Type="http://schemas.openxmlformats.org/officeDocument/2006/relationships/hyperlink" Target="https://www.lemonde.fr/pixels/article/2014/11/17/wine-ou-vin-intense-bataille-autour-des-nouvelles-adresses-internet_4524888_4408996.html" TargetMode="External"/><Relationship Id="rId10" Type="http://schemas.openxmlformats.org/officeDocument/2006/relationships/hyperlink" Target="https://icannwiki.org/.patagonia" TargetMode="External"/><Relationship Id="rId11" Type="http://schemas.openxmlformats.org/officeDocument/2006/relationships/hyperlink" Target="https://www.generation-nt.com/icann-organisme-gestion-noms-domaine-religieux-opposition-vatican-actualite-244961.html" TargetMode="External"/><Relationship Id="rId12" Type="http://schemas.openxmlformats.org/officeDocument/2006/relationships/hyperlink" Target="https://www.namecheap.com/blog/icann-allows-com-price-increases-gets-more-money/" TargetMode="External"/><Relationship Id="rId13" Type="http://schemas.openxmlformats.org/officeDocument/2006/relationships/hyperlink" Target="https://www.afnic.fr/fr/l-afnic-en-bref/" TargetMode="External"/><Relationship Id="rId14" Type="http://schemas.openxmlformats.org/officeDocument/2006/relationships/hyperlink" Target="https://fr.wikipedia.org/w/index.php?title=Association_fran&#231;aise_pour_le_nommage_Internet_en_coop&#233;ration&amp;oldid=176581811" TargetMode="External"/><Relationship Id="rId15" Type="http://schemas.openxmlformats.org/officeDocument/2006/relationships/hyperlink" Target="https://www.afnic.fr/medias/documents/Cadre_legal/Charte-de-nommage-Afnic-2020-04-07_VF.pdf" TargetMode="External"/><Relationship Id="rId16" Type="http://schemas.openxmlformats.org/officeDocument/2006/relationships/hyperlink" Target="https://www.afnic.fr/fr/ressources/documents-de-reference/chartes/termes-soumis-a-examen-prealable/" TargetMode="External"/><Relationship Id="rId17" Type="http://schemas.openxmlformats.org/officeDocument/2006/relationships/hyperlink" Target="https://www.afnic.fr/medias/documents/RESOUDRE_UN_LITIGE/PARL/Reglement_PARL_vFR_22_03_2016.pdf" TargetMode="External"/><Relationship Id="rId18" Type="http://schemas.openxmlformats.org/officeDocument/2006/relationships/hyperlink" Target="http://www.legavox.fr/blog/maitre-anthony-bem/transfert-contraint-domaine-site-internet-15896.htm" TargetMode="External"/><Relationship Id="rId19" Type="http://schemas.openxmlformats.org/officeDocument/2006/relationships/hyperlink" Target="https://www.afnic.fr/fr/l-afnic-en-bref/actualites/actualites-generales/2467/show/communique-de-presse-assouplissement-du-fr-des-le-11-mai-2004.html" TargetMode="External"/><Relationship Id="rId20" Type="http://schemas.openxmlformats.org/officeDocument/2006/relationships/hyperlink" Target="https://parl-expert.fr/attachment/get/5f6de1c406b09_Decision EXPERT-2020-00782 sanofivaccincovid19.fr.pdf" TargetMode="External"/><Relationship Id="rId21" Type="http://schemas.openxmlformats.org/officeDocument/2006/relationships/hyperlink" Target="https://www.numerama.com/magazine/29816-la-france-declare-officiellement-la-guerre-a-l-icann.html" TargetMode="External"/><Relationship Id="rId22" Type="http://schemas.openxmlformats.org/officeDocument/2006/relationships/hyperlink" Target="https://www.icann.org/news/blog/preparatifs-pour-l-acceptation-universelle-a-wuzhen-chine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LibreOffice/7.0.3.1$Windows_X86_64 LibreOffice_project/d7547858d014d4cf69878db179d326fc3483e082</Application>
  <Pages>2</Pages>
  <Words>408</Words>
  <Characters>3677</Characters>
  <CharactersWithSpaces>4085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2020-12-07T21:15:11Z</dcterms:created>
  <dc:creator/>
  <dc:description/>
  <dc:language>fr-FR</dc:language>
  <cp:lastModifiedBy/>
  <dcterms:modified xsi:type="dcterms:W3CDTF">2021-01-17T20:32:38Z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BREF_0lA60uia9Osz_1">
    <vt:lpwstr/>
  </property>
  <property fmtid="{D5CDD505-2E9C-101B-9397-08002B2CF9AE}" pid="3" name="ZOTERO_BREF_6DEcG423U2vg_1">
    <vt:lpwstr>ZOTERO_BIBL {"uncited":[],"omitted":[],"custom":[]} CSL_BIBLIOGRAPHY</vt:lpwstr>
  </property>
  <property fmtid="{D5CDD505-2E9C-101B-9397-08002B2CF9AE}" pid="4" name="ZOTERO_BREF_6DEcG423U2vg_2">
    <vt:lpwstr/>
  </property>
  <property fmtid="{D5CDD505-2E9C-101B-9397-08002B2CF9AE}" pid="5" name="ZOTERO_BREF_6DEcG423U2vg_3">
    <vt:lpwstr/>
  </property>
  <property fmtid="{D5CDD505-2E9C-101B-9397-08002B2CF9AE}" pid="6" name="ZOTERO_BREF_CXfnMqEM1IIE_1">
    <vt:lpwstr>ZOTERO_ITEM CSL_CITATION {"citationID":"42iF54B7","properties":{"formattedCitation":"[1]","plainCitation":"[1]","noteIndex":0},"citationItems":[{"id":57,"uris":["http://zotero.org/users/local/NmV2sBAG/items/JV32ZMSF"],"uri":["http://zotero.org/users/local</vt:lpwstr>
  </property>
  <property fmtid="{D5CDD505-2E9C-101B-9397-08002B2CF9AE}" pid="7" name="ZOTERO_BREF_CXfnMqEM1IIE_2">
    <vt:lpwstr>/NmV2sBAG/items/JV32ZMSF"],"itemData":{"id":57,"type":"webpage","title":"ICANN Allows .COM Price Increases, Gets More Money - Namecheap Blog","URL":"https://www.namecheap.com/blog/icann-allows-com-price-increases-gets-more-money/","accessed":{"date-parts"</vt:lpwstr>
  </property>
  <property fmtid="{D5CDD505-2E9C-101B-9397-08002B2CF9AE}" pid="8" name="ZOTERO_BREF_CXfnMqEM1IIE_3">
    <vt:lpwstr>:[["2021",1,16]]}}}],"schema":"https://github.com/citation-style-language/schema/raw/master/csl-citation.json"}</vt:lpwstr>
  </property>
  <property fmtid="{D5CDD505-2E9C-101B-9397-08002B2CF9AE}" pid="9" name="ZOTERO_BREF_D1fiACvEnyR7_1">
    <vt:lpwstr>ZOTERO_ITEM CSL_CITATION {"citationID":"PdxU5fDF","properties":{"formattedCitation":"[1]","plainCitation":"[1]","noteIndex":0},"citationItems":[{"id":25,"uris":["http://zotero.org/users/local/NmV2sBAG/items/SKVY7QUE"],"uri":["http://zotero.org/users/local</vt:lpwstr>
  </property>
  <property fmtid="{D5CDD505-2E9C-101B-9397-08002B2CF9AE}" pid="10" name="ZOTERO_BREF_D1fiACvEnyR7_2">
    <vt:lpwstr>/NmV2sBAG/items/SKVY7QUE"],"itemData":{"id":25,"type":"article-journal","container-title":"Les Cahiers du numerique","ISSN":"1622-1494","issue":"2","language":"fr","note":"publisher: Lavoisier","page":"145-157","source":"www.cairn.info","title":"L'Icann, </vt:lpwstr>
  </property>
  <property fmtid="{D5CDD505-2E9C-101B-9397-08002B2CF9AE}" pid="11" name="ZOTERO_BREF_D1fiACvEnyR7_3">
    <vt:lpwstr>un exemple de gouvernance originale ou un cas de law intelligence ?","volume":"Vol. 3","author":[{"family":"Iteanu","given":"Olivier"}],"issued":{"date-parts":[["2002"]]}}}],"schema":"https://github.com/citation-style-language/schema/raw/master/csl-citati</vt:lpwstr>
  </property>
  <property fmtid="{D5CDD505-2E9C-101B-9397-08002B2CF9AE}" pid="12" name="ZOTERO_BREF_D1fiACvEnyR7_4">
    <vt:lpwstr>on.json"}</vt:lpwstr>
  </property>
  <property fmtid="{D5CDD505-2E9C-101B-9397-08002B2CF9AE}" pid="13" name="ZOTERO_BREF_ImyrNHn2KvhB_1">
    <vt:lpwstr>ZOTERO_BIBL {"uncited":[],"omitted":[],"custom":[]} CSL_BIBLIOGRAPHY</vt:lpwstr>
  </property>
  <property fmtid="{D5CDD505-2E9C-101B-9397-08002B2CF9AE}" pid="14" name="ZOTERO_BREF_ImyrNHn2KvhB_2">
    <vt:lpwstr/>
  </property>
  <property fmtid="{D5CDD505-2E9C-101B-9397-08002B2CF9AE}" pid="15" name="ZOTERO_BREF_ImyrNHn2KvhB_3">
    <vt:lpwstr/>
  </property>
  <property fmtid="{D5CDD505-2E9C-101B-9397-08002B2CF9AE}" pid="16" name="ZOTERO_BREF_J3BfaeEfvQPW_1">
    <vt:lpwstr>ZOTERO_ITEM CSL_CITATION {"citationID":"Tyimga7k","properties":{"formattedCitation":"[1]","plainCitation":"[1]","noteIndex":0},"citationItems":[{"id":60,"uris":["http://zotero.org/users/local/NmV2sBAG/items/NWVK7UPA"],"uri":["http://zotero.org/users/local</vt:lpwstr>
  </property>
  <property fmtid="{D5CDD505-2E9C-101B-9397-08002B2CF9AE}" pid="17" name="ZOTERO_BREF_J3BfaeEfvQPW_2">
    <vt:lpwstr>/NmV2sBAG/items/NWVK7UPA"],"itemData":{"id":60,"type":"webpage","title":"Termes soumis à examen préalable - AFNIC","URL":"https://www.afnic.fr/fr/ressources/documents-de-reference/chartes/termes-soumis-a-examen-prealable/","accessed":{"date-parts":[["2021</vt:lpwstr>
  </property>
  <property fmtid="{D5CDD505-2E9C-101B-9397-08002B2CF9AE}" pid="18" name="ZOTERO_BREF_J3BfaeEfvQPW_3">
    <vt:lpwstr>",1,16]]}}}],"schema":"https://github.com/citation-style-language/schema/raw/master/csl-citation.json"}</vt:lpwstr>
  </property>
  <property fmtid="{D5CDD505-2E9C-101B-9397-08002B2CF9AE}" pid="19" name="ZOTERO_BREF_KCzlzCGeJIrh_1">
    <vt:lpwstr>ZOTERO_BIBL {"uncited":[],"omitted":[],"custom":[]} CSL_BIBLIOGRAPHY</vt:lpwstr>
  </property>
  <property fmtid="{D5CDD505-2E9C-101B-9397-08002B2CF9AE}" pid="20" name="ZOTERO_BREF_KCzlzCGeJIrh_2">
    <vt:lpwstr/>
  </property>
  <property fmtid="{D5CDD505-2E9C-101B-9397-08002B2CF9AE}" pid="21" name="ZOTERO_BREF_KCzlzCGeJIrh_3">
    <vt:lpwstr/>
  </property>
  <property fmtid="{D5CDD505-2E9C-101B-9397-08002B2CF9AE}" pid="22" name="ZOTERO_BREF_KCzlzCGeJIrh_4">
    <vt:lpwstr/>
  </property>
  <property fmtid="{D5CDD505-2E9C-101B-9397-08002B2CF9AE}" pid="23" name="ZOTERO_BREF_KCzlzCGeJIrh_5">
    <vt:lpwstr/>
  </property>
  <property fmtid="{D5CDD505-2E9C-101B-9397-08002B2CF9AE}" pid="24" name="ZOTERO_BREF_ORXrK944KVev_1">
    <vt:lpwstr>ZOTERO_TEMP</vt:lpwstr>
  </property>
  <property fmtid="{D5CDD505-2E9C-101B-9397-08002B2CF9AE}" pid="25" name="ZOTERO_BREF_YUvHUtvEouNN_1">
    <vt:lpwstr/>
  </property>
  <property fmtid="{D5CDD505-2E9C-101B-9397-08002B2CF9AE}" pid="26" name="ZOTERO_BREF_ixJD4DTKRODX_1">
    <vt:lpwstr/>
  </property>
  <property fmtid="{D5CDD505-2E9C-101B-9397-08002B2CF9AE}" pid="27" name="ZOTERO_BREF_q1nmUU7qrR1c_1">
    <vt:lpwstr>ZOTERO_ITEM CSL_CITATION {"citationID":"MLEc32UE","properties":{"formattedCitation":"[1]","plainCitation":"[1]","noteIndex":0},"citationItems":[{"id":61,"uris":["http://zotero.org/users/local/NmV2sBAG/items/BJ7XES6T"],"uri":["http://zotero.org/users/local</vt:lpwstr>
  </property>
  <property fmtid="{D5CDD505-2E9C-101B-9397-08002B2CF9AE}" pid="28" name="ZOTERO_BREF_q1nmUU7qrR1c_2">
    <vt:lpwstr>/NmV2sBAG/items/BJ7XES6T"],"itemData":{"id":61,"type":"article-journal","language":"fr","page":"26","source":"Zotero","title":"Charte de nommage de l'Afnic","issued":{"date-parts":[["2020"]]}}}],"schema":"https://github.com/citation-style-language/schema/</vt:lpwstr>
  </property>
  <property fmtid="{D5CDD505-2E9C-101B-9397-08002B2CF9AE}" pid="29" name="ZOTERO_BREF_q1nmUU7qrR1c_3">
    <vt:lpwstr>raw/master/csl-citation.json"}</vt:lpwstr>
  </property>
  <property fmtid="{D5CDD505-2E9C-101B-9397-08002B2CF9AE}" pid="30" name="ZOTERO_BREF_wPigHQRSOJtK_1">
    <vt:lpwstr>ZOTERO_ITEM CSL_CITATION {"citationID":"CKhDACOH","properties":{"formattedCitation":"[1]","plainCitation":"[1]","noteIndex":0},"citationItems":[{"id":56,"uris":["http://zotero.org/users/local/NmV2sBAG/items/SWCBR857"],"uri":["http://zotero.org/users/local</vt:lpwstr>
  </property>
  <property fmtid="{D5CDD505-2E9C-101B-9397-08002B2CF9AE}" pid="31" name="ZOTERO_BREF_wPigHQRSOJtK_2">
    <vt:lpwstr>/NmV2sBAG/items/SWCBR857"],"itemData":{"id":56,"type":"webpage","abstract":"Who has the right to use an Amazon domain name? The people who live there or a company with the same name?","container-title":"The Conversation","language":"en","title":"Amazon wi</vt:lpwstr>
  </property>
  <property fmtid="{D5CDD505-2E9C-101B-9397-08002B2CF9AE}" pid="32" name="ZOTERO_BREF_wPigHQRSOJtK_3">
    <vt:lpwstr>ns '.amazon' domain name, aggravating South American region and undermining digital commons","URL":"http://theconversation.com/amazon-wins-amazon-domain-name-aggravating-south-american-region-and-undermining-digital-commons-118186","author":[{"family":"Ho</vt:lpwstr>
  </property>
  <property fmtid="{D5CDD505-2E9C-101B-9397-08002B2CF9AE}" pid="33" name="ZOTERO_BREF_wPigHQRSOJtK_4">
    <vt:lpwstr>","given":"Tara Van"}],"accessed":{"date-parts":[["2021",1,16]]}}}],"schema":"https://github.com/citation-style-language/schema/raw/master/csl-citation.json"}</vt:lpwstr>
  </property>
  <property fmtid="{D5CDD505-2E9C-101B-9397-08002B2CF9AE}" pid="34" name="ZOTERO_BREF_wwSuXqLwIfly_1">
    <vt:lpwstr/>
  </property>
  <property fmtid="{D5CDD505-2E9C-101B-9397-08002B2CF9AE}" pid="35" name="ZOTERO_BREF_xZME1ofJBxGr_1">
    <vt:lpwstr/>
  </property>
  <property fmtid="{D5CDD505-2E9C-101B-9397-08002B2CF9AE}" pid="36" name="ZOTERO_BREF_xmFDj2q1GDt8_1">
    <vt:lpwstr>ZOTERO_BIBL {"uncited":[],"omitted":[],"custom":[]} CSL_BIBLIOGRAPHY</vt:lpwstr>
  </property>
  <property fmtid="{D5CDD505-2E9C-101B-9397-08002B2CF9AE}" pid="37" name="ZOTERO_BREF_xmFDj2q1GDt8_2">
    <vt:lpwstr/>
  </property>
  <property fmtid="{D5CDD505-2E9C-101B-9397-08002B2CF9AE}" pid="38" name="ZOTERO_BREF_xmFDj2q1GDt8_3">
    <vt:lpwstr/>
  </property>
  <property fmtid="{D5CDD505-2E9C-101B-9397-08002B2CF9AE}" pid="39" name="ZOTERO_BREF_ycNX63Spu1eR_1">
    <vt:lpwstr/>
  </property>
  <property fmtid="{D5CDD505-2E9C-101B-9397-08002B2CF9AE}" pid="40" name="ZOTERO_BREF_zpCLzyY1pZXk_1">
    <vt:lpwstr>ZOTERO_BIBL {"uncited":[],"omitted":[],"custom":[]} CSL_BIBLIOGRAPHY</vt:lpwstr>
  </property>
  <property fmtid="{D5CDD505-2E9C-101B-9397-08002B2CF9AE}" pid="41" name="ZOTERO_BREF_zpCLzyY1pZXk_2">
    <vt:lpwstr/>
  </property>
  <property fmtid="{D5CDD505-2E9C-101B-9397-08002B2CF9AE}" pid="42" name="ZOTERO_BREF_zpCLzyY1pZXk_3">
    <vt:lpwstr/>
  </property>
  <property fmtid="{D5CDD505-2E9C-101B-9397-08002B2CF9AE}" pid="43" name="ZOTERO_PREF_1">
    <vt:lpwstr>&lt;data data-version="3" zotero-version="5.0.95"&gt;&lt;session id="qNoD0FM2"/&gt;&lt;style id="http://www.zotero.org/styles/ieee" locale="fr-FR" hasBibliography="1" bibliographyStyleHasBeenSet="1"/&gt;&lt;prefs&gt;&lt;pref name="fieldType" value="Bookmark"/&gt;&lt;pref name="automaticJ</vt:lpwstr>
  </property>
  <property fmtid="{D5CDD505-2E9C-101B-9397-08002B2CF9AE}" pid="44" name="ZOTERO_PREF_2">
    <vt:lpwstr>ournalAbbreviations" value="true"/&gt;&lt;/prefs&gt;&lt;/data&gt;</vt:lpwstr>
  </property>
</Properties>
</file>