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C15385">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C15385">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C15385">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C15385">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C15385">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C15385">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C15385">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75297" w:rsidRDefault="00B75297" w:rsidP="00B75297">
      <w:pPr>
        <w:spacing w:after="170"/>
        <w:jc w:val="both"/>
        <w:rPr>
          <w:b/>
          <w:color w:val="FF0000"/>
        </w:rPr>
      </w:pPr>
      <w:r w:rsidRPr="00B75297">
        <w:rPr>
          <w:b/>
          <w:color w:val="FF0000"/>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4DFA936E" w:rsidR="00B75297" w:rsidRPr="00B75297" w:rsidRDefault="00B75297" w:rsidP="00B75297">
      <w:pPr>
        <w:spacing w:after="170"/>
        <w:jc w:val="both"/>
        <w:rPr>
          <w:b/>
          <w:color w:val="FF0000"/>
        </w:rPr>
      </w:pPr>
      <w:r w:rsidRPr="00B75297">
        <w:rPr>
          <w:b/>
          <w:color w:val="FF0000"/>
        </w:rPr>
        <w:t>- annexes (useless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225D43C4" w:rsidR="002200AF" w:rsidRPr="002200AF" w:rsidRDefault="002200AF" w:rsidP="002200AF">
      <w:pPr>
        <w:pStyle w:val="Corpsdetexte"/>
        <w:ind w:firstLine="384"/>
      </w:pPr>
      <w:r>
        <w:t>La bibliographie reste quasiment la même. Nous avons simplement rajouté quelques sites web tels que le site de GPAC aisni que la page wikipedia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7C847FF4"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current 715</w:t>
      </w:r>
    </w:p>
    <w:p w14:paraId="790D84AC" w14:textId="5323FFF5" w:rsidR="00906EFD" w:rsidRDefault="00B50FF5" w:rsidP="00906EFD">
      <w:pPr>
        <w:ind w:firstLine="709"/>
        <w:jc w:val="both"/>
      </w:pPr>
      <w:r>
        <w:t>Le concept de région d’intérêt a été mis en pl</w:t>
      </w:r>
      <w:r>
        <w:t>ace dans le but de réduire la charge réseau tout en conservant un maximum de qualité vidéo</w:t>
      </w:r>
      <w:r>
        <w:t>.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La plupart du temps les vidéos ont une résolution bien supérieur à de la simple 4K, on trouve notamment de la 6K et même dans certain</w:t>
      </w:r>
      <w:r w:rsidR="00CD465B">
        <w:t>s</w:t>
      </w:r>
      <w:r w:rsidR="00906EFD">
        <w:t xml:space="preserve"> cas de la 8K (images de respectivement 6000 et 8000 pixels de large</w:t>
      </w:r>
      <w:r w:rsidR="00CD465B">
        <w:t>)</w:t>
      </w:r>
      <w:r w:rsidR="00344DC0">
        <w:t>.</w:t>
      </w:r>
    </w:p>
    <w:p w14:paraId="31741EF0" w14:textId="77777777" w:rsidR="00EC150C" w:rsidRDefault="00EC150C" w:rsidP="00EC150C">
      <w:pPr>
        <w:jc w:val="both"/>
      </w:pPr>
    </w:p>
    <w:p w14:paraId="74A64ECF" w14:textId="2AC16452"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5x5 tuiles</w:t>
      </w:r>
      <w:r w:rsidR="001201B6">
        <w:t>.</w:t>
      </w:r>
      <w:r w:rsidR="008132BF">
        <w:t xml:space="preserve"> Ce découpage en tuiles peut se faire avec des encodeurs comme ffmpeg et kvazaar</w:t>
      </w:r>
      <w:r w:rsidR="00F35388">
        <w:t xml:space="preserve">. </w:t>
      </w:r>
      <w:r w:rsidR="00316105">
        <w:t xml:space="preserve">Le choix du découpage est totalement </w:t>
      </w:r>
      <w:r w:rsidR="00316105">
        <w:lastRenderedPageBreak/>
        <w:t>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p>
    <w:p w14:paraId="2509B223" w14:textId="77777777" w:rsidR="00B50FF5" w:rsidRPr="00B50FF5" w:rsidRDefault="00B50FF5" w:rsidP="00B27A2C">
      <w:pPr>
        <w:pStyle w:val="Corpsdetexte"/>
        <w:ind w:firstLine="0"/>
      </w:pPr>
    </w:p>
    <w:p w14:paraId="5789AF00" w14:textId="72B2E676"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p>
    <w:p w14:paraId="6DEC9346" w14:textId="7526B883" w:rsidR="007E2552" w:rsidRDefault="00327142" w:rsidP="00934073">
      <w:pPr>
        <w:pStyle w:val="Corpsdetexte"/>
        <w:ind w:firstLine="709"/>
        <w:jc w:val="both"/>
      </w:pPr>
      <w:r>
        <w:t>La méthodologie que nous avons sui</w:t>
      </w:r>
      <w:r w:rsidR="00934073">
        <w:t xml:space="preserve">vie est celle disponible sur 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1BB858B6" w14:textId="0D1D1972" w:rsidR="000E52EA"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9F5733">
        <w:t>.</w:t>
      </w:r>
      <w:r w:rsidR="00B14F47">
        <w:t xml:space="preserve"> Le découpage en tuile est une opération </w:t>
      </w:r>
      <w:r w:rsidR="00165FCE">
        <w:t>extrêmement</w:t>
      </w:r>
      <w:r w:rsidR="00B14F47">
        <w:t xml:space="preserve"> lourde au niveau encodage. A titre d’exemple sur un CPU dual Core 2.6Ghz</w:t>
      </w:r>
      <w:r w:rsidR="00BC0889">
        <w:t xml:space="preserve"> découper 1 min</w:t>
      </w:r>
      <w:r w:rsidR="00CE09A4">
        <w:t>ute</w:t>
      </w:r>
      <w:r w:rsidR="00BC0889">
        <w:t xml:space="preserve"> de vidéo en 4K 30ips prend plus de 1h30</w:t>
      </w:r>
      <w:r w:rsidR="00C03A74">
        <w:t xml:space="preserve"> et il ne faut pas oublier qu’il faut refaire l’encodage </w:t>
      </w:r>
      <w:r w:rsidR="00165FCE">
        <w:t>à</w:t>
      </w:r>
      <w:r w:rsidR="00C03A74">
        <w:t xml:space="preserve"> chaque fois que l’on change la résolution ou le nombre de tuiles.</w:t>
      </w:r>
      <w:r w:rsidR="00165FCE">
        <w:t xml:space="preserve"> Pour éviter de devoir attendre pendant des heures et des heures la fin de l’encodage nous avons créé un script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0E52EA">
        <w:t xml:space="preserve">Après avoir découpé le media source et les différents clones en tuiles, il </w:t>
      </w:r>
      <w:r w:rsidR="00642578">
        <w:t xml:space="preserve">faut </w:t>
      </w:r>
      <w:r w:rsidR="00642578">
        <w:lastRenderedPageBreak/>
        <w:t xml:space="preserve">utiliser MP4Box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63C9FA7B" w14:textId="25FDEF4C" w:rsidR="002B6B05"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bookmarkStart w:id="11" w:name="_GoBack"/>
      <w:bookmarkEnd w:id="11"/>
      <w:r w:rsidR="00197375">
        <w:t>permettant de limiter la bande passante du lecteur pour simuler différentes configurations</w:t>
      </w:r>
      <w:r w:rsidR="00024049">
        <w:t xml:space="preserve"> réseau</w:t>
      </w:r>
      <w:r w:rsidR="00197375">
        <w:t>.</w:t>
      </w:r>
    </w:p>
    <w:p w14:paraId="58D681F4" w14:textId="77777777" w:rsidR="007E78DC" w:rsidRPr="002B6B05" w:rsidRDefault="007E78DC" w:rsidP="007E78DC">
      <w:pPr>
        <w:pStyle w:val="Corpsdetexte"/>
        <w:ind w:firstLine="709"/>
        <w:jc w:val="both"/>
      </w:pPr>
    </w:p>
    <w:p w14:paraId="593890D1" w14:textId="77777777" w:rsidR="007E78DC" w:rsidRPr="002B6B05" w:rsidRDefault="007E78DC" w:rsidP="007E2552">
      <w:pPr>
        <w:pStyle w:val="Corpsdetexte"/>
        <w:ind w:firstLine="709"/>
        <w:jc w:val="both"/>
      </w:pPr>
    </w:p>
    <w:p w14:paraId="39CABF00" w14:textId="2A889C5D" w:rsidR="003F5E6B" w:rsidRDefault="003F5E6B" w:rsidP="00454C03">
      <w:pPr>
        <w:pStyle w:val="Titre1"/>
        <w:tabs>
          <w:tab w:val="left" w:pos="0"/>
        </w:tabs>
        <w:spacing w:before="0" w:after="170"/>
        <w:jc w:val="both"/>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p>
    <w:sectPr w:rsidR="003F5E6B"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0B236" w14:textId="77777777" w:rsidR="00C15385" w:rsidRDefault="00C15385">
      <w:r>
        <w:separator/>
      </w:r>
    </w:p>
  </w:endnote>
  <w:endnote w:type="continuationSeparator" w:id="0">
    <w:p w14:paraId="7DEC25C2" w14:textId="77777777" w:rsidR="00C15385" w:rsidRDefault="00C1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C15385"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6pt;height:34.6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8F7C6E">
      <w:rPr>
        <w:b/>
        <w:noProof/>
        <w:sz w:val="24"/>
      </w:rPr>
      <w:t>7</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8F7C6E">
      <w:rPr>
        <w:b/>
        <w:noProof/>
        <w:sz w:val="24"/>
      </w:rPr>
      <w:t>7</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D7A04" w14:textId="77777777" w:rsidR="00C15385" w:rsidRDefault="00C15385">
      <w:r>
        <w:separator/>
      </w:r>
    </w:p>
  </w:footnote>
  <w:footnote w:type="continuationSeparator" w:id="0">
    <w:p w14:paraId="5A9C8A3F" w14:textId="77777777" w:rsidR="00C15385" w:rsidRDefault="00C15385">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16E06"/>
    <w:rsid w:val="00024049"/>
    <w:rsid w:val="0007343E"/>
    <w:rsid w:val="000931C8"/>
    <w:rsid w:val="000946AD"/>
    <w:rsid w:val="000B2619"/>
    <w:rsid w:val="000D0EAB"/>
    <w:rsid w:val="000E52EA"/>
    <w:rsid w:val="001201B6"/>
    <w:rsid w:val="00127AA9"/>
    <w:rsid w:val="00135CD0"/>
    <w:rsid w:val="00165FCE"/>
    <w:rsid w:val="00166EAB"/>
    <w:rsid w:val="00171C72"/>
    <w:rsid w:val="00180E22"/>
    <w:rsid w:val="0018175B"/>
    <w:rsid w:val="00197375"/>
    <w:rsid w:val="001A30D9"/>
    <w:rsid w:val="001E494C"/>
    <w:rsid w:val="00205522"/>
    <w:rsid w:val="002200AF"/>
    <w:rsid w:val="00232B38"/>
    <w:rsid w:val="00247E20"/>
    <w:rsid w:val="0026112B"/>
    <w:rsid w:val="0028041E"/>
    <w:rsid w:val="002865A8"/>
    <w:rsid w:val="002954DD"/>
    <w:rsid w:val="002A6981"/>
    <w:rsid w:val="002B6B05"/>
    <w:rsid w:val="002F0DCC"/>
    <w:rsid w:val="0030148F"/>
    <w:rsid w:val="003038C7"/>
    <w:rsid w:val="0030443E"/>
    <w:rsid w:val="00316105"/>
    <w:rsid w:val="003238E8"/>
    <w:rsid w:val="00327142"/>
    <w:rsid w:val="003360D1"/>
    <w:rsid w:val="00344DC0"/>
    <w:rsid w:val="00353C68"/>
    <w:rsid w:val="003567E0"/>
    <w:rsid w:val="0036003F"/>
    <w:rsid w:val="00377156"/>
    <w:rsid w:val="003B0229"/>
    <w:rsid w:val="003F5E6B"/>
    <w:rsid w:val="00414C82"/>
    <w:rsid w:val="00424C00"/>
    <w:rsid w:val="0045118C"/>
    <w:rsid w:val="00452B36"/>
    <w:rsid w:val="00454C03"/>
    <w:rsid w:val="004D3844"/>
    <w:rsid w:val="004D52DA"/>
    <w:rsid w:val="004E5B7B"/>
    <w:rsid w:val="00500A37"/>
    <w:rsid w:val="00504369"/>
    <w:rsid w:val="00511EEE"/>
    <w:rsid w:val="0054136F"/>
    <w:rsid w:val="005765B0"/>
    <w:rsid w:val="00577823"/>
    <w:rsid w:val="005B4BD5"/>
    <w:rsid w:val="005C24FB"/>
    <w:rsid w:val="005D6D18"/>
    <w:rsid w:val="005E248B"/>
    <w:rsid w:val="005E2794"/>
    <w:rsid w:val="005F3B08"/>
    <w:rsid w:val="005F7DBD"/>
    <w:rsid w:val="00642578"/>
    <w:rsid w:val="00647CB3"/>
    <w:rsid w:val="0069316C"/>
    <w:rsid w:val="006B46F3"/>
    <w:rsid w:val="006C6D96"/>
    <w:rsid w:val="006D34D3"/>
    <w:rsid w:val="006D7EBD"/>
    <w:rsid w:val="006E0321"/>
    <w:rsid w:val="006F1E5A"/>
    <w:rsid w:val="006F6A3B"/>
    <w:rsid w:val="00713E08"/>
    <w:rsid w:val="0071659B"/>
    <w:rsid w:val="007207D7"/>
    <w:rsid w:val="00725887"/>
    <w:rsid w:val="00727A78"/>
    <w:rsid w:val="00730F96"/>
    <w:rsid w:val="00746AF4"/>
    <w:rsid w:val="00751689"/>
    <w:rsid w:val="00793A44"/>
    <w:rsid w:val="00794642"/>
    <w:rsid w:val="007968F6"/>
    <w:rsid w:val="007B0924"/>
    <w:rsid w:val="007E2552"/>
    <w:rsid w:val="007E78DC"/>
    <w:rsid w:val="00810728"/>
    <w:rsid w:val="008132BF"/>
    <w:rsid w:val="00835C3A"/>
    <w:rsid w:val="00863A01"/>
    <w:rsid w:val="00864B17"/>
    <w:rsid w:val="0087380F"/>
    <w:rsid w:val="008738D6"/>
    <w:rsid w:val="00884B49"/>
    <w:rsid w:val="008A1055"/>
    <w:rsid w:val="008B749C"/>
    <w:rsid w:val="008F7C6E"/>
    <w:rsid w:val="00900826"/>
    <w:rsid w:val="00906EFD"/>
    <w:rsid w:val="00916572"/>
    <w:rsid w:val="009245DF"/>
    <w:rsid w:val="00934073"/>
    <w:rsid w:val="0094365A"/>
    <w:rsid w:val="00943B0F"/>
    <w:rsid w:val="00947E41"/>
    <w:rsid w:val="009910E1"/>
    <w:rsid w:val="009A31D8"/>
    <w:rsid w:val="009A5012"/>
    <w:rsid w:val="009F5733"/>
    <w:rsid w:val="00A366CF"/>
    <w:rsid w:val="00A609A8"/>
    <w:rsid w:val="00AC69A5"/>
    <w:rsid w:val="00AD68DC"/>
    <w:rsid w:val="00AE0EF8"/>
    <w:rsid w:val="00AF2058"/>
    <w:rsid w:val="00AF7FF1"/>
    <w:rsid w:val="00B0023B"/>
    <w:rsid w:val="00B00FA2"/>
    <w:rsid w:val="00B14F47"/>
    <w:rsid w:val="00B25278"/>
    <w:rsid w:val="00B27A2C"/>
    <w:rsid w:val="00B30222"/>
    <w:rsid w:val="00B50FF5"/>
    <w:rsid w:val="00B520E4"/>
    <w:rsid w:val="00B539E4"/>
    <w:rsid w:val="00B64698"/>
    <w:rsid w:val="00B75297"/>
    <w:rsid w:val="00B76A9F"/>
    <w:rsid w:val="00B85322"/>
    <w:rsid w:val="00BA2ED0"/>
    <w:rsid w:val="00BA3F32"/>
    <w:rsid w:val="00BB1949"/>
    <w:rsid w:val="00BC0889"/>
    <w:rsid w:val="00BC2223"/>
    <w:rsid w:val="00BD393E"/>
    <w:rsid w:val="00BE001A"/>
    <w:rsid w:val="00C03A74"/>
    <w:rsid w:val="00C15385"/>
    <w:rsid w:val="00C2302C"/>
    <w:rsid w:val="00C33335"/>
    <w:rsid w:val="00C73878"/>
    <w:rsid w:val="00C81250"/>
    <w:rsid w:val="00C84D85"/>
    <w:rsid w:val="00CB4B91"/>
    <w:rsid w:val="00CD0039"/>
    <w:rsid w:val="00CD465B"/>
    <w:rsid w:val="00CE09A4"/>
    <w:rsid w:val="00D00239"/>
    <w:rsid w:val="00D105BC"/>
    <w:rsid w:val="00D15D85"/>
    <w:rsid w:val="00D16F3D"/>
    <w:rsid w:val="00D62247"/>
    <w:rsid w:val="00D85815"/>
    <w:rsid w:val="00DC4A96"/>
    <w:rsid w:val="00DD6B67"/>
    <w:rsid w:val="00DE0107"/>
    <w:rsid w:val="00DF4866"/>
    <w:rsid w:val="00DF624F"/>
    <w:rsid w:val="00E059CE"/>
    <w:rsid w:val="00E10A07"/>
    <w:rsid w:val="00E17B71"/>
    <w:rsid w:val="00E17B89"/>
    <w:rsid w:val="00E529BB"/>
    <w:rsid w:val="00E54A35"/>
    <w:rsid w:val="00E54D9A"/>
    <w:rsid w:val="00E66D35"/>
    <w:rsid w:val="00EA15A3"/>
    <w:rsid w:val="00EC150C"/>
    <w:rsid w:val="00EC6FD0"/>
    <w:rsid w:val="00ED66CB"/>
    <w:rsid w:val="00ED6A95"/>
    <w:rsid w:val="00F0504B"/>
    <w:rsid w:val="00F17E30"/>
    <w:rsid w:val="00F202DA"/>
    <w:rsid w:val="00F35388"/>
    <w:rsid w:val="00F71882"/>
    <w:rsid w:val="00F80A10"/>
    <w:rsid w:val="00FA1260"/>
    <w:rsid w:val="00FA39CD"/>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9DDA7-A932-486B-B652-7ACCE342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2378</Words>
  <Characters>13082</Characters>
  <Application>Microsoft Office Word</Application>
  <DocSecurity>0</DocSecurity>
  <Lines>109</Lines>
  <Paragraphs>30</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15430</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162</cp:revision>
  <cp:lastPrinted>2009-03-10T14:49:00Z</cp:lastPrinted>
  <dcterms:created xsi:type="dcterms:W3CDTF">2017-01-25T16:54:00Z</dcterms:created>
  <dcterms:modified xsi:type="dcterms:W3CDTF">2020-06-03T17:48:00Z</dcterms:modified>
</cp:coreProperties>
</file>