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969DA"/>
          <w:sz w:val="28"/>
        </w:rPr>
        <w:t>PLAN DU RAPPORT DE STAGE</w:t>
      </w:r>
    </w:p>
    <w:p>
      <w:pPr>
        <w:spacing w:after="240"/>
        <w:jc w:val="center"/>
      </w:pPr>
      <w:r>
        <w:rPr>
          <w:b/>
          <w:sz w:val="19"/>
        </w:rPr>
        <w:t>Fabien Bidet  |  Master Bio-informatique (Computational Biology)  |  Promotion 2024-2026</w:t>
        <w:br/>
      </w:r>
      <w:r>
        <w:rPr>
          <w:i/>
          <w:color w:val="646464"/>
          <w:sz w:val="18"/>
        </w:rPr>
        <w:t>Sujet : Évaluation et développement de méthodes Deep Learning pour l'analyse de données single-cell RNA-seq</w:t>
        <w:br/>
      </w:r>
      <w:r>
        <w:rPr>
          <w:color w:val="646464"/>
          <w:sz w:val="17"/>
        </w:rPr>
        <w:t>Lieu de stage : LaBRI  |  Encadrants : A. Raguin, V. Bourgeais, L. Giovannangeli, P. Thébault</w:t>
      </w:r>
    </w:p>
    <w:p>
      <w:pPr>
        <w:spacing w:after="240"/>
        <w:jc w:val="center"/>
      </w:pPr>
      <w:r>
        <w:rPr>
          <w:color w:val="646464"/>
          <w:sz w:val="16"/>
        </w:rPr>
        <w:t>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line="252" w:lineRule="auto" w:before="80" w:after="40"/>
      </w:pPr>
      <w:r>
        <w:rPr>
          <w:b/>
          <w:color w:val="0969DA"/>
          <w:sz w:val="20"/>
        </w:rPr>
        <w:t>INTRODUCTION</w:t>
      </w:r>
    </w:p>
    <w:p>
      <w:pPr>
        <w:spacing w:line="252" w:lineRule="auto" w:before="0" w:after="20"/>
        <w:ind w:left="360"/>
      </w:pPr>
      <w:r>
        <w:rPr>
          <w:sz w:val="19"/>
        </w:rPr>
        <w:t>1.1. Environnement de travail</w:t>
      </w:r>
    </w:p>
    <w:p>
      <w:pPr>
        <w:spacing w:line="252" w:lineRule="auto" w:before="0" w:after="20"/>
        <w:ind w:left="360"/>
      </w:pPr>
      <w:r>
        <w:rPr>
          <w:sz w:val="19"/>
        </w:rPr>
        <w:t>1.2. Introduction du sujet de stage</w:t>
      </w:r>
    </w:p>
    <w:p>
      <w:pPr>
        <w:spacing w:line="252" w:lineRule="auto" w:before="80" w:after="40"/>
      </w:pPr>
      <w:r>
        <w:rPr>
          <w:b/>
          <w:color w:val="0969DA"/>
          <w:sz w:val="20"/>
        </w:rPr>
        <w:t>Section 1 : ÉTAT DE L'ART</w:t>
      </w:r>
    </w:p>
    <w:p>
      <w:pPr>
        <w:spacing w:line="252" w:lineRule="auto" w:before="0" w:after="20"/>
        <w:ind w:left="360"/>
      </w:pPr>
      <w:r>
        <w:rPr>
          <w:sz w:val="19"/>
        </w:rPr>
        <w:t>2.1. Algorithmes de clustering</w:t>
      </w:r>
    </w:p>
    <w:p>
      <w:pPr>
        <w:spacing w:line="252" w:lineRule="auto" w:before="0" w:after="20"/>
        <w:ind w:left="720"/>
      </w:pPr>
      <w:r>
        <w:rPr>
          <w:color w:val="646464"/>
          <w:sz w:val="17"/>
        </w:rPr>
        <w:t>2.1.1. Approches classiques</w:t>
      </w:r>
    </w:p>
    <w:p>
      <w:pPr>
        <w:spacing w:line="252" w:lineRule="auto" w:before="0" w:after="20"/>
        <w:ind w:left="720"/>
      </w:pPr>
      <w:r>
        <w:rPr>
          <w:color w:val="646464"/>
          <w:sz w:val="17"/>
        </w:rPr>
        <w:t>2.1.2. Approches Deep Learning (Apprentissage Profond)</w:t>
      </w:r>
    </w:p>
    <w:p>
      <w:pPr>
        <w:spacing w:line="252" w:lineRule="auto" w:before="0" w:after="20"/>
        <w:ind w:left="720"/>
      </w:pPr>
      <w:r>
        <w:rPr>
          <w:color w:val="646464"/>
          <w:sz w:val="17"/>
        </w:rPr>
        <w:t>2.1.3. Approches spécifiques à la problématique des cellules rares</w:t>
      </w:r>
    </w:p>
    <w:p>
      <w:pPr>
        <w:spacing w:line="252" w:lineRule="auto" w:before="0" w:after="20"/>
        <w:ind w:left="360"/>
      </w:pPr>
      <w:r>
        <w:rPr>
          <w:sz w:val="19"/>
        </w:rPr>
        <w:t>2.2. Données</w:t>
      </w:r>
    </w:p>
    <w:p>
      <w:pPr>
        <w:spacing w:line="252" w:lineRule="auto" w:before="0" w:after="20"/>
        <w:ind w:left="360"/>
      </w:pPr>
      <w:r>
        <w:rPr>
          <w:sz w:val="19"/>
        </w:rPr>
        <w:t>2.3. Traitements de données</w:t>
      </w:r>
    </w:p>
    <w:p>
      <w:pPr>
        <w:spacing w:line="252" w:lineRule="auto" w:before="0" w:after="20"/>
        <w:ind w:left="720"/>
      </w:pPr>
      <w:r>
        <w:rPr>
          <w:color w:val="646464"/>
          <w:sz w:val="17"/>
        </w:rPr>
        <w:t>2.3.1. Prétraitement initial</w:t>
      </w:r>
    </w:p>
    <w:p>
      <w:pPr>
        <w:spacing w:line="252" w:lineRule="auto" w:before="0" w:after="20"/>
        <w:ind w:left="720"/>
      </w:pPr>
      <w:r>
        <w:rPr>
          <w:color w:val="646464"/>
          <w:sz w:val="17"/>
        </w:rPr>
        <w:t>2.3.2. Effet de batch</w:t>
      </w:r>
    </w:p>
    <w:p>
      <w:pPr>
        <w:spacing w:line="252" w:lineRule="auto" w:before="80" w:after="40"/>
      </w:pPr>
      <w:r>
        <w:rPr>
          <w:b/>
          <w:color w:val="0969DA"/>
          <w:sz w:val="20"/>
        </w:rPr>
        <w:t>Section 2 : COMPARAISON DE L'EXISTANT</w:t>
      </w:r>
    </w:p>
    <w:p>
      <w:pPr>
        <w:spacing w:line="252" w:lineRule="auto" w:before="0" w:after="20"/>
        <w:ind w:left="360"/>
      </w:pPr>
      <w:r>
        <w:rPr>
          <w:sz w:val="19"/>
        </w:rPr>
        <w:t>3.1. Logiciel (SCRBenchmark)</w:t>
      </w:r>
    </w:p>
    <w:p>
      <w:pPr>
        <w:spacing w:line="252" w:lineRule="auto" w:before="0" w:after="20"/>
        <w:ind w:left="360"/>
      </w:pPr>
      <w:r>
        <w:rPr>
          <w:sz w:val="19"/>
        </w:rPr>
        <w:t>3.2. Expériences</w:t>
      </w:r>
    </w:p>
    <w:p>
      <w:pPr>
        <w:spacing w:line="252" w:lineRule="auto" w:before="0" w:after="20"/>
        <w:ind w:left="720"/>
      </w:pPr>
      <w:r>
        <w:rPr>
          <w:color w:val="646464"/>
          <w:sz w:val="17"/>
        </w:rPr>
        <w:t>3.2.1. Données et splits</w:t>
      </w:r>
    </w:p>
    <w:p>
      <w:pPr>
        <w:spacing w:line="252" w:lineRule="auto" w:before="0" w:after="20"/>
        <w:ind w:left="720"/>
      </w:pPr>
      <w:r>
        <w:rPr>
          <w:color w:val="646464"/>
          <w:sz w:val="17"/>
        </w:rPr>
        <w:t>3.2.2. Méthodes</w:t>
      </w:r>
    </w:p>
    <w:p>
      <w:pPr>
        <w:spacing w:line="252" w:lineRule="auto" w:before="0" w:after="20"/>
        <w:ind w:left="720"/>
      </w:pPr>
      <w:r>
        <w:rPr>
          <w:color w:val="646464"/>
          <w:sz w:val="17"/>
        </w:rPr>
        <w:t>3.2.3. Résultats</w:t>
      </w:r>
    </w:p>
    <w:p>
      <w:pPr>
        <w:spacing w:line="252" w:lineRule="auto" w:before="80" w:after="40"/>
      </w:pPr>
      <w:r>
        <w:rPr>
          <w:b/>
          <w:color w:val="0969DA"/>
          <w:sz w:val="20"/>
        </w:rPr>
        <w:t>Section 3 : SCRAW (MÉTHODE PROPOSÉE)</w:t>
      </w:r>
    </w:p>
    <w:p>
      <w:pPr>
        <w:spacing w:line="252" w:lineRule="auto" w:before="0" w:after="20"/>
        <w:ind w:left="360"/>
      </w:pPr>
      <w:r>
        <w:rPr>
          <w:sz w:val="19"/>
        </w:rPr>
        <w:t>4.1. Positionnement et motivation</w:t>
      </w:r>
    </w:p>
    <w:p>
      <w:pPr>
        <w:spacing w:line="252" w:lineRule="auto" w:before="0" w:after="20"/>
        <w:ind w:left="360"/>
      </w:pPr>
      <w:r>
        <w:rPr>
          <w:sz w:val="19"/>
        </w:rPr>
        <w:t>4.2. Pipeline</w:t>
      </w:r>
    </w:p>
    <w:p>
      <w:pPr>
        <w:spacing w:line="252" w:lineRule="auto" w:before="0" w:after="20"/>
        <w:ind w:left="360"/>
      </w:pPr>
      <w:r>
        <w:rPr>
          <w:sz w:val="19"/>
        </w:rPr>
        <w:t>4.3. Fonctions de perte (loss) et variantes</w:t>
      </w:r>
    </w:p>
    <w:p>
      <w:pPr>
        <w:spacing w:line="252" w:lineRule="auto" w:before="0" w:after="20"/>
        <w:ind w:left="360"/>
      </w:pPr>
      <w:r>
        <w:rPr>
          <w:sz w:val="19"/>
        </w:rPr>
        <w:t>4.4. Recherche d'hyperparamètres</w:t>
      </w:r>
    </w:p>
    <w:p>
      <w:pPr>
        <w:spacing w:line="252" w:lineRule="auto" w:before="0" w:after="20"/>
        <w:ind w:left="360"/>
      </w:pPr>
      <w:r>
        <w:rPr>
          <w:sz w:val="19"/>
        </w:rPr>
        <w:t>4.5. Résultats et discussion</w:t>
      </w:r>
    </w:p>
    <w:p>
      <w:pPr>
        <w:spacing w:line="252" w:lineRule="auto" w:before="0" w:after="20"/>
        <w:ind w:left="720"/>
      </w:pPr>
      <w:r>
        <w:rPr>
          <w:color w:val="646464"/>
          <w:sz w:val="17"/>
        </w:rPr>
        <w:t>4.5.1. Validation sur des jeux non vus pendant l'optimisation</w:t>
      </w:r>
    </w:p>
    <w:p>
      <w:pPr>
        <w:spacing w:line="252" w:lineRule="auto" w:before="80" w:after="40"/>
      </w:pPr>
      <w:r>
        <w:rPr>
          <w:b/>
          <w:color w:val="0969DA"/>
          <w:sz w:val="20"/>
        </w:rPr>
        <w:t>Section 4 : TRAVAUX COMPLÉMENTAIRES</w:t>
      </w:r>
    </w:p>
    <w:p>
      <w:pPr>
        <w:spacing w:line="252" w:lineRule="auto" w:before="0" w:after="20"/>
        <w:ind w:left="360"/>
      </w:pPr>
      <w:r>
        <w:rPr>
          <w:sz w:val="19"/>
        </w:rPr>
        <w:t>5.1. Transfert de loss</w:t>
      </w:r>
    </w:p>
    <w:p>
      <w:pPr>
        <w:spacing w:line="252" w:lineRule="auto" w:before="0" w:after="20"/>
        <w:ind w:left="360"/>
      </w:pPr>
      <w:r>
        <w:rPr>
          <w:sz w:val="19"/>
        </w:rPr>
        <w:t>5.2. Induction</w:t>
      </w:r>
    </w:p>
    <w:p>
      <w:pPr>
        <w:spacing w:line="252" w:lineRule="auto" w:before="0" w:after="20"/>
        <w:ind w:left="360"/>
      </w:pPr>
      <w:r>
        <w:rPr>
          <w:sz w:val="19"/>
        </w:rPr>
        <w:t>5.3. Interprétation biologique</w:t>
      </w:r>
    </w:p>
    <w:p>
      <w:pPr>
        <w:spacing w:line="252" w:lineRule="auto" w:before="0" w:after="20"/>
        <w:ind w:left="360"/>
      </w:pPr>
      <w:r>
        <w:rPr>
          <w:sz w:val="19"/>
        </w:rPr>
        <w:t>5.4. Limites méthodologiques</w:t>
      </w:r>
    </w:p>
    <w:p>
      <w:pPr>
        <w:spacing w:line="252" w:lineRule="auto" w:before="80" w:after="40"/>
      </w:pPr>
      <w:r>
        <w:rPr>
          <w:b/>
          <w:color w:val="0969DA"/>
          <w:sz w:val="20"/>
        </w:rPr>
        <w:t>CONCLUSION</w:t>
      </w:r>
    </w:p>
    <w:p>
      <w:pPr>
        <w:spacing w:line="252" w:lineRule="auto" w:before="80" w:after="40"/>
      </w:pPr>
      <w:r>
        <w:rPr>
          <w:b/>
          <w:color w:val="0969DA"/>
          <w:sz w:val="20"/>
        </w:rPr>
        <w:t>GLOSSAIRE ET ABRÉVIATIONS</w:t>
      </w:r>
    </w:p>
    <w:p>
      <w:pPr>
        <w:spacing w:line="252" w:lineRule="auto" w:before="80" w:after="40"/>
      </w:pPr>
      <w:r>
        <w:rPr>
          <w:b/>
          <w:color w:val="0969DA"/>
          <w:sz w:val="20"/>
        </w:rPr>
        <w:t>ANNEXES</w:t>
      </w:r>
    </w:p>
    <w:p>
      <w:pPr>
        <w:spacing w:line="252" w:lineRule="auto" w:before="0" w:after="20"/>
        <w:ind w:left="360"/>
      </w:pPr>
      <w:r>
        <w:rPr>
          <w:sz w:val="19"/>
        </w:rPr>
        <w:t>A. Structure et organigramme du LaBRI</w:t>
      </w:r>
    </w:p>
    <w:p>
      <w:pPr>
        <w:spacing w:line="252" w:lineRule="auto" w:before="0" w:after="20"/>
        <w:ind w:left="360"/>
      </w:pPr>
      <w:r>
        <w:rPr>
          <w:sz w:val="19"/>
        </w:rPr>
        <w:t>B. Détails des jeux de données</w:t>
      </w:r>
    </w:p>
    <w:p>
      <w:pPr>
        <w:spacing w:line="252" w:lineRule="auto" w:before="0" w:after="20"/>
        <w:ind w:left="360"/>
      </w:pPr>
      <w:r>
        <w:rPr>
          <w:sz w:val="19"/>
        </w:rPr>
        <w:t>C. Tableau des métriques d'évaluation</w:t>
      </w:r>
    </w:p>
    <w:p>
      <w:pPr>
        <w:spacing w:line="252" w:lineRule="auto" w:before="0" w:after="20"/>
        <w:ind w:left="360"/>
      </w:pPr>
      <w:r>
        <w:rPr>
          <w:sz w:val="19"/>
        </w:rPr>
        <w:t>D. Résultats complets sur les huit jeux de données de l'annexe B</w:t>
      </w:r>
    </w:p>
    <w:p>
      <w:pPr>
        <w:spacing w:line="252" w:lineRule="auto" w:before="0" w:after="20"/>
        <w:ind w:left="360"/>
      </w:pPr>
      <w:r>
        <w:rPr>
          <w:sz w:val="19"/>
        </w:rPr>
        <w:t>E. Résultats complets du transfert de loss pondérée L_recon,ponderee</w:t>
      </w:r>
    </w:p>
    <w:p>
      <w:pPr>
        <w:spacing w:line="252" w:lineRule="auto" w:before="0" w:after="20"/>
        <w:ind w:left="360"/>
      </w:pPr>
      <w:r>
        <w:rPr>
          <w:sz w:val="19"/>
        </w:rPr>
        <w:t>F. Détails de l'évaluation inductive</w:t>
      </w:r>
    </w:p>
    <w:p>
      <w:pPr>
        <w:spacing w:line="252" w:lineRule="auto" w:before="0" w:after="20"/>
        <w:ind w:left="360"/>
      </w:pPr>
      <w:r>
        <w:rPr>
          <w:sz w:val="19"/>
        </w:rPr>
        <w:t>G. Étude d'ablation de scRAW</w:t>
      </w:r>
    </w:p>
    <w:p>
      <w:pPr>
        <w:spacing w:line="252" w:lineRule="auto" w:before="0" w:after="20"/>
        <w:ind w:left="360"/>
      </w:pPr>
      <w:r>
        <w:rPr>
          <w:sz w:val="19"/>
        </w:rPr>
        <w:t>H. Hyperparamètres de la configuration de référence scRAW</w:t>
      </w:r>
    </w:p>
    <w:p>
      <w:pPr>
        <w:spacing w:line="252" w:lineRule="auto" w:before="0" w:after="20"/>
        <w:ind w:left="360"/>
      </w:pPr>
      <w:r>
        <w:rPr>
          <w:sz w:val="19"/>
        </w:rPr>
        <w:t>I. Figures de recherche d'hyperparamètres scRAW</w:t>
      </w:r>
    </w:p>
    <w:p>
      <w:pPr>
        <w:spacing w:line="252" w:lineRule="auto" w:before="0" w:after="20"/>
        <w:ind w:left="360"/>
      </w:pPr>
      <w:r>
        <w:rPr>
          <w:sz w:val="19"/>
        </w:rPr>
        <w:t>J. Screenshots de l'interface graphique SCRBenchmark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