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b7a832220c02db25adf9d53ba26dc475eddd89d"/>
    <w:p>
      <w:pPr>
        <w:pStyle w:val="Heading1"/>
      </w:pPr>
      <w:r>
        <w:t xml:space="preserve">📌 ChurnInsight — Previsão de Churn Orientada ao Negócio</w:t>
      </w:r>
    </w:p>
    <w:bookmarkStart w:id="20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ChurnInsight</w:t>
      </w:r>
      <w:r>
        <w:t xml:space="preserve"> </w:t>
      </w:r>
      <w:r>
        <w:t xml:space="preserve">é uma solução de análise preditiva voltada à identificação antecipada de clientes com risco de cancelamento (churn) em empresas de serviços recorrentes. O projeto foi desenvolvido com foco em</w:t>
      </w:r>
      <w:r>
        <w:t xml:space="preserve"> </w:t>
      </w:r>
      <w:r>
        <w:rPr>
          <w:b/>
          <w:bCs/>
        </w:rPr>
        <w:t xml:space="preserve">objetividade, aplicabilidade e tomada de decisão</w:t>
      </w:r>
      <w:r>
        <w:t xml:space="preserve">, conectando dados históricos a ações práticas de retenção.</w:t>
      </w:r>
    </w:p>
    <w:p>
      <w:r>
        <w:pict>
          <v:rect style="width:0;height:1.5pt" o:hralign="center" o:hrstd="t" o:hr="t"/>
        </w:pict>
      </w:r>
    </w:p>
    <w:bookmarkEnd w:id="20"/>
    <w:bookmarkStart w:id="21" w:name="problema-de-negócio"/>
    <w:p>
      <w:pPr>
        <w:pStyle w:val="Heading2"/>
      </w:pPr>
      <w:r>
        <w:t xml:space="preserve">Problema de Negócio</w:t>
      </w:r>
    </w:p>
    <w:p>
      <w:pPr>
        <w:pStyle w:val="FirstParagraph"/>
      </w:pPr>
      <w:r>
        <w:t xml:space="preserve">Empresas que operam sob modelos de receita recorrente enfrentam perdas significativas devido ao churn. Na maioria dos casos, o cancelamento só é identificado quando já ocorreu, tornando as ações de retenção reativas e pouco eficazes.</w:t>
      </w:r>
    </w:p>
    <w:p>
      <w:pPr>
        <w:pStyle w:val="BodyText"/>
      </w:pPr>
      <w:r>
        <w:t xml:space="preserve">Principais impactos do churn:</w:t>
      </w:r>
      <w:r>
        <w:t xml:space="preserve"> </w:t>
      </w:r>
      <w:r>
        <w:t xml:space="preserve">- perda direta de receita;</w:t>
      </w:r>
      <w:r>
        <w:t xml:space="preserve"> </w:t>
      </w:r>
      <w:r>
        <w:t xml:space="preserve">- aumento do custo de aquisição de clientes;</w:t>
      </w:r>
      <w:r>
        <w:t xml:space="preserve"> </w:t>
      </w:r>
      <w:r>
        <w:t xml:space="preserve">- redução do valor do tempo de vida do cliente (CLTV);</w:t>
      </w:r>
      <w:r>
        <w:t xml:space="preserve"> </w:t>
      </w:r>
      <w:r>
        <w:t xml:space="preserve">- menor previsibilidade financeira.</w:t>
      </w:r>
    </w:p>
    <w:p>
      <w:pPr>
        <w:pStyle w:val="BodyText"/>
      </w:pPr>
      <w:r>
        <w:t xml:space="preserve">O desafio central é</w:t>
      </w:r>
      <w:r>
        <w:t xml:space="preserve"> </w:t>
      </w:r>
      <w:r>
        <w:rPr>
          <w:b/>
          <w:bCs/>
        </w:rPr>
        <w:t xml:space="preserve">antecipar o churn</w:t>
      </w:r>
      <w:r>
        <w:t xml:space="preserve"> </w:t>
      </w:r>
      <w:r>
        <w:t xml:space="preserve">a partir de dados existentes e permitir atuação preventiva.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Desenvolver um modelo de Machine Learning capaz de:</w:t>
      </w:r>
      <w:r>
        <w:t xml:space="preserve"> </w:t>
      </w:r>
      <w:r>
        <w:t xml:space="preserve">- prever a probabilidade de churn de cada cliente;</w:t>
      </w:r>
      <w:r>
        <w:t xml:space="preserve"> </w:t>
      </w:r>
      <w:r>
        <w:t xml:space="preserve">- classificar clientes por nível de risco;</w:t>
      </w:r>
      <w:r>
        <w:t xml:space="preserve"> </w:t>
      </w:r>
      <w:r>
        <w:t xml:space="preserve">- fornecer uma saída simples e integrável a sistemas de negócio.</w:t>
      </w:r>
    </w:p>
    <w:p>
      <w:pPr>
        <w:pStyle w:val="BodyText"/>
      </w:pPr>
      <w:r>
        <w:t xml:space="preserve">A solução é orientada à construção de um</w:t>
      </w:r>
      <w:r>
        <w:t xml:space="preserve"> </w:t>
      </w:r>
      <w:r>
        <w:rPr>
          <w:b/>
          <w:bCs/>
        </w:rPr>
        <w:t xml:space="preserve">MVP funcional</w:t>
      </w:r>
      <w:r>
        <w:t xml:space="preserve">, priorizando clareza, desempenho e facilidade de integração.</w:t>
      </w:r>
    </w:p>
    <w:p>
      <w:r>
        <w:pict>
          <v:rect style="width:0;height:1.5pt" o:hralign="center" o:hrstd="t" o:hr="t"/>
        </w:pict>
      </w:r>
    </w:p>
    <w:bookmarkEnd w:id="22"/>
    <w:bookmarkStart w:id="23" w:name="abordagem-técnica"/>
    <w:p>
      <w:pPr>
        <w:pStyle w:val="Heading2"/>
      </w:pPr>
      <w:r>
        <w:t xml:space="preserve">Abordagem Técnica</w:t>
      </w:r>
    </w:p>
    <w:p>
      <w:pPr>
        <w:pStyle w:val="FirstParagraph"/>
      </w:pPr>
      <w:r>
        <w:t xml:space="preserve">O ChurnInsight segue um fluxo clássico e validado de Data Science: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Exploração e entendimento dos dados (EDA)</w:t>
      </w:r>
    </w:p>
    <w:p>
      <w:pPr>
        <w:pStyle w:val="Compact"/>
        <w:numPr>
          <w:ilvl w:val="1"/>
          <w:numId w:val="1002"/>
        </w:numPr>
      </w:pPr>
      <w:r>
        <w:t xml:space="preserve">análise da distribuição do churn;</w:t>
      </w:r>
    </w:p>
    <w:p>
      <w:pPr>
        <w:pStyle w:val="Compact"/>
        <w:numPr>
          <w:ilvl w:val="1"/>
          <w:numId w:val="1002"/>
        </w:numPr>
      </w:pPr>
      <w:r>
        <w:t xml:space="preserve">identificação de variáveis com maior relação com cancelamento;</w:t>
      </w:r>
    </w:p>
    <w:p>
      <w:pPr>
        <w:pStyle w:val="Compact"/>
        <w:numPr>
          <w:ilvl w:val="1"/>
          <w:numId w:val="1002"/>
        </w:numPr>
      </w:pPr>
      <w:r>
        <w:t xml:space="preserve">detecção de inconsistências e valores ausentes.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Pré-processamento e Feature Engineering</w:t>
      </w:r>
    </w:p>
    <w:p>
      <w:pPr>
        <w:pStyle w:val="Compact"/>
        <w:numPr>
          <w:ilvl w:val="1"/>
          <w:numId w:val="1003"/>
        </w:numPr>
      </w:pPr>
      <w:r>
        <w:t xml:space="preserve">limpeza e conversão robusta de variáveis numéricas;</w:t>
      </w:r>
    </w:p>
    <w:p>
      <w:pPr>
        <w:pStyle w:val="Compact"/>
        <w:numPr>
          <w:ilvl w:val="1"/>
          <w:numId w:val="1003"/>
        </w:numPr>
      </w:pPr>
      <w:r>
        <w:t xml:space="preserve">imputação de valores ausentes;</w:t>
      </w:r>
    </w:p>
    <w:p>
      <w:pPr>
        <w:pStyle w:val="Compact"/>
        <w:numPr>
          <w:ilvl w:val="1"/>
          <w:numId w:val="1003"/>
        </w:numPr>
      </w:pPr>
      <w:r>
        <w:t xml:space="preserve">One-Hot Encoding para variáveis categóricas;</w:t>
      </w:r>
    </w:p>
    <w:p>
      <w:pPr>
        <w:pStyle w:val="Compact"/>
        <w:numPr>
          <w:ilvl w:val="1"/>
          <w:numId w:val="1003"/>
        </w:numPr>
      </w:pPr>
      <w:r>
        <w:t xml:space="preserve">normalização de variáveis numéricas;</w:t>
      </w:r>
    </w:p>
    <w:p>
      <w:pPr>
        <w:pStyle w:val="Compact"/>
        <w:numPr>
          <w:ilvl w:val="1"/>
          <w:numId w:val="1003"/>
        </w:numPr>
      </w:pPr>
      <w:r>
        <w:t xml:space="preserve">uso de pipelines para evitar data leakage.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Modelagem e Avaliação</w:t>
      </w:r>
    </w:p>
    <w:p>
      <w:pPr>
        <w:pStyle w:val="Compact"/>
        <w:numPr>
          <w:ilvl w:val="1"/>
          <w:numId w:val="1004"/>
        </w:numPr>
      </w:pPr>
      <w:r>
        <w:t xml:space="preserve">modelos testados: Logistic Regression, Random Forest e Gradient Boosting;</w:t>
      </w:r>
    </w:p>
    <w:p>
      <w:pPr>
        <w:pStyle w:val="Compact"/>
        <w:numPr>
          <w:ilvl w:val="1"/>
          <w:numId w:val="1004"/>
        </w:numPr>
      </w:pPr>
      <w:r>
        <w:t xml:space="preserve">avaliação baseada em F1-score, Recall e AUC-ROC;</w:t>
      </w:r>
    </w:p>
    <w:p>
      <w:pPr>
        <w:pStyle w:val="Compact"/>
        <w:numPr>
          <w:ilvl w:val="1"/>
          <w:numId w:val="1004"/>
        </w:numPr>
      </w:pPr>
      <w:r>
        <w:t xml:space="preserve">priorização do Recall, dada a natureza do problema.</w:t>
      </w:r>
    </w:p>
    <w:p>
      <w:r>
        <w:pict>
          <v:rect style="width:0;height:1.5pt" o:hralign="center" o:hrstd="t" o:hr="t"/>
        </w:pict>
      </w:r>
    </w:p>
    <w:bookmarkEnd w:id="23"/>
    <w:bookmarkStart w:id="24" w:name="tipo-de-previsão"/>
    <w:p>
      <w:pPr>
        <w:pStyle w:val="Heading2"/>
      </w:pPr>
      <w:r>
        <w:t xml:space="preserve">Tipo de Previsão</w:t>
      </w:r>
    </w:p>
    <w:p>
      <w:pPr>
        <w:pStyle w:val="FirstParagraph"/>
      </w:pPr>
      <w:r>
        <w:t xml:space="preserve">O problema é tratado como</w:t>
      </w:r>
      <w:r>
        <w:t xml:space="preserve"> </w:t>
      </w:r>
      <w:r>
        <w:rPr>
          <w:b/>
          <w:bCs/>
        </w:rPr>
        <w:t xml:space="preserve">classificação binária</w:t>
      </w:r>
      <w:r>
        <w:t xml:space="preserve">:</w:t>
      </w:r>
      <w:r>
        <w:t xml:space="preserve"> </w:t>
      </w:r>
      <w:r>
        <w:t xml:space="preserve">- 0 — Cliente permanece</w:t>
      </w:r>
      <w:r>
        <w:t xml:space="preserve"> </w:t>
      </w:r>
      <w:r>
        <w:t xml:space="preserve">- 1 — Cliente cancela</w:t>
      </w:r>
    </w:p>
    <w:p>
      <w:pPr>
        <w:pStyle w:val="BodyText"/>
      </w:pPr>
      <w:r>
        <w:t xml:space="preserve">Cada previsão é acompanhada de uma</w:t>
      </w:r>
      <w:r>
        <w:t xml:space="preserve"> </w:t>
      </w:r>
      <w:r>
        <w:rPr>
          <w:b/>
          <w:bCs/>
        </w:rPr>
        <w:t xml:space="preserve">probabilidade de churn</w:t>
      </w:r>
      <w:r>
        <w:t xml:space="preserve">, permitindo priorização de ações e definição de thresholds operacionais.</w:t>
      </w:r>
    </w:p>
    <w:p>
      <w:r>
        <w:pict>
          <v:rect style="width:0;height:1.5pt" o:hralign="center" o:hrstd="t" o:hr="t"/>
        </w:pict>
      </w:r>
    </w:p>
    <w:bookmarkEnd w:id="24"/>
    <w:bookmarkStart w:id="25" w:name="valor-gerado"/>
    <w:p>
      <w:pPr>
        <w:pStyle w:val="Heading2"/>
      </w:pPr>
      <w:r>
        <w:t xml:space="preserve">Valor Gerado</w:t>
      </w:r>
    </w:p>
    <w:p>
      <w:pPr>
        <w:pStyle w:val="FirstParagraph"/>
      </w:pPr>
      <w:r>
        <w:t xml:space="preserve">A solução permite que a empresa:</w:t>
      </w:r>
      <w:r>
        <w:t xml:space="preserve"> </w:t>
      </w:r>
      <w:r>
        <w:t xml:space="preserve">- identifique clientes em risco antes do cancelamento;</w:t>
      </w:r>
      <w:r>
        <w:t xml:space="preserve"> </w:t>
      </w:r>
      <w:r>
        <w:t xml:space="preserve">- direcione ações de retenção de forma mais eficiente;</w:t>
      </w:r>
      <w:r>
        <w:t xml:space="preserve"> </w:t>
      </w:r>
      <w:r>
        <w:t xml:space="preserve">- reduza perdas financeiras;</w:t>
      </w:r>
      <w:r>
        <w:t xml:space="preserve"> </w:t>
      </w:r>
      <w:r>
        <w:t xml:space="preserve">- aumente o retorno sobre ações comerciais;</w:t>
      </w:r>
      <w:r>
        <w:t xml:space="preserve"> </w:t>
      </w:r>
      <w:r>
        <w:t xml:space="preserve">- utilize dados como suporte direto à decisão.</w:t>
      </w:r>
    </w:p>
    <w:p>
      <w:r>
        <w:pict>
          <v:rect style="width:0;height:1.5pt" o:hralign="center" o:hrstd="t" o:hr="t"/>
        </w:pict>
      </w:r>
    </w:p>
    <w:bookmarkEnd w:id="25"/>
    <w:bookmarkStart w:id="26" w:name="escopo-e-limitações"/>
    <w:p>
      <w:pPr>
        <w:pStyle w:val="Heading2"/>
      </w:pPr>
      <w:r>
        <w:t xml:space="preserve">Escopo e Limitações</w:t>
      </w:r>
    </w:p>
    <w:p>
      <w:pPr>
        <w:pStyle w:val="FirstParagraph"/>
      </w:pPr>
      <w:r>
        <w:t xml:space="preserve">No contexto do projeto, o foco está em:</w:t>
      </w:r>
      <w:r>
        <w:t xml:space="preserve"> </w:t>
      </w:r>
      <w:r>
        <w:t xml:space="preserve">- entrega de um MVP funcional;</w:t>
      </w:r>
      <w:r>
        <w:t xml:space="preserve"> </w:t>
      </w:r>
      <w:r>
        <w:t xml:space="preserve">- modelos explicáveis e estáveis;</w:t>
      </w:r>
      <w:r>
        <w:t xml:space="preserve"> </w:t>
      </w:r>
      <w:r>
        <w:t xml:space="preserve">- integração simples via API;</w:t>
      </w:r>
      <w:r>
        <w:t xml:space="preserve"> </w:t>
      </w:r>
      <w:r>
        <w:t xml:space="preserve">- demonstração clara do fluxo ponta a ponta.</w:t>
      </w:r>
    </w:p>
    <w:p>
      <w:pPr>
        <w:pStyle w:val="BodyText"/>
      </w:pPr>
      <w:r>
        <w:t xml:space="preserve">Extensões como tuning avançado, modelos mais complexos ou deploy em larga escala são consideradas evoluções futuras.</w:t>
      </w:r>
    </w:p>
    <w:p>
      <w:r>
        <w:pict>
          <v:rect style="width:0;height:1.5pt" o:hralign="center" o:hrstd="t" o:hr="t"/>
        </w:pict>
      </w:r>
    </w:p>
    <w:bookmarkEnd w:id="26"/>
    <w:bookmarkStart w:id="27" w:name="conclusão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ChurnInsight</w:t>
      </w:r>
      <w:r>
        <w:t xml:space="preserve"> </w:t>
      </w:r>
      <w:r>
        <w:t xml:space="preserve">demonstra como técnicas de Machine Learning podem ser aplicadas de forma objetiva para resolver um problema recorrente de negócio. Ao transformar dados históricos em previsões acionáveis, a solução viabiliza decisões proativas, reduz churn e melhora a eficiência operacional.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2026-01-05T16:25:36Z</dcterms:created>
  <dcterms:modified xsi:type="dcterms:W3CDTF">2026-01-05T16:25:36Z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