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header1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11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1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/>
        <w:sectPr>
          <w:headerReference w:type="first" r:id="rId1"/>
          <w:headerReference w:type="even" r:id="rId2"/>
          <w:headerReference w:type="default" r:id="rId3"/>
          <w:type w:val="nextPage"/>
          <w:pgSz w:w="11906" w:h="16838"/>
          <w:pgMar w:top="400" w:right="400" w:bottom="400" w:left="1000" w:gutter="0"/>
          <w:pgBorders/>
          <w:pgNumType w:fmt="decimal"/>
          <w:cols w:equalWidth="1" w:space="720"/>
        </w:sectPr>
      </w:pP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b/>
          <w:sz w:val="32"/>
          <w:u w:val="single"/>
        </w:rPr>
        <w:t xml:space="preserve">asd (asd)</w:t>
      </w:r>
    </w:p>
    <w:p>
      <w:pPr>
        <w:pBdr/>
        <w:spacing/>
        <w:jc w:val="left"/>
        <w:rPr/>
      </w:pPr>
    </w:p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Informações gerais</w:t>
      </w:r>
    </w:p>
    <w:p>
      <w:pPr>
        <w:pBdr/>
        <w:spacing/>
        <w:rPr/>
      </w:pPr>
    </w:p>
    <w:p>
      <w:pPr>
        <w:numPr>
          <w:ilvl w:val="0"/>
          <w:numId w:val="1"/>
        </w:numPr>
        <w:spacing/>
        <w:rPr/>
      </w:pPr>
      <w:r>
        <w:rPr/>
        <w:t xml:space="preserve">Unidade pertencente: asd</w:t>
      </w:r>
    </w:p>
    <w:p>
      <w:pPr>
        <w:numPr>
          <w:ilvl w:val="0"/>
          <w:numId w:val="1"/>
        </w:numPr>
        <w:pBdr/>
        <w:spacing/>
        <w:rPr/>
      </w:pPr>
      <w:r>
        <w:rPr/>
        <w:t xml:space="preserve">Prédio: das</w:t>
      </w:r>
    </w:p>
    <w:p>
      <w:pPr>
        <w:numPr>
          <w:ilvl w:val="0"/>
          <w:numId w:val="1"/>
        </w:numPr>
        <w:pBdr/>
        <w:spacing/>
        <w:rPr/>
      </w:pPr>
      <w:r>
        <w:rPr/>
        <w:t xml:space="preserve">Sala: das</w:t>
      </w:r>
    </w:p>
    <w:p>
      <w:pPr>
        <w:numPr>
          <w:ilvl w:val="0"/>
          <w:numId w:val="1"/>
        </w:numPr>
        <w:pBdr/>
        <w:spacing/>
        <w:rPr/>
      </w:pPr>
      <w:r>
        <w:rPr/>
        <w:t xml:space="preserve">Responsável: das(dsa)</w:t>
      </w:r>
    </w:p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Descrição geral</w:t>
      </w:r>
    </w:p>
    <w:p>
      <w:pPr>
        <w:pBdr/>
        <w:spacing/>
        <w:rPr/>
      </w:pPr>
    </w:p>
    <w:p>
      <w:pPr>
        <w:spacing/>
        <w:jc w:val="both"/>
        <w:rPr/>
      </w:pPr>
      <w:r>
        <w:rPr/>
        <w:t xml:space="preserve">asd</w:t>
      </w:r>
    </w:p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Compilação dos agentes mecânicos</w:t>
      </w:r>
    </w:p>
    <w:p>
      <w:pPr>
        <w:pBdr/>
        <w:spacing/>
        <w:rPr/>
      </w:pPr>
    </w:p>
    <w:tbl>
      <w:tblPr>
        <w:tblStyle w:val="TableGrid"/>
        <w:tblLayout w:type="fixed"/>
        <w:tblCellMar/>
        <w:tblLook w:val="04A0" w:firstRow="1" w:lastRow="0" w:firstColumn="1" w:lastColumn="0" w:noHBand="0" w:noVBand="1"/>
      </w:tblPr>
      <w:tblGrid>
        <w:gridCol w:w="3302"/>
        <w:gridCol w:w="3302"/>
        <w:gridCol w:w="3302"/>
      </w:tblGrid>
      <w:tr>
        <w:trPr/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t xml:space="preserve">Agente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t xml:space="preserve">Risco Associado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t xml:space="preserve">Informações Adicionais</w:t>
            </w:r>
          </w:p>
        </w:tc>
      </w:tr>
      <w:tr>
        <w:trPr/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t xml:space="preserve">asd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t xml:space="preserve">asd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t xml:space="preserve">asd</w:t>
            </w:r>
          </w:p>
        </w:tc>
      </w:tr>
    </w:tbl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Riscos Identificados</w:t>
      </w:r>
    </w:p>
    <w:p>
      <w:pPr>
        <w:pBdr/>
        <w:spacing/>
        <w:rPr/>
      </w:pPr>
    </w:p>
    <w:tbl>
      <w:tblPr>
        <w:tblStyle w:val="TableGrid"/>
        <w:tblLayout w:type="fixed"/>
        <w:tblCellMar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Risco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Perigo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Salvaguarda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Classificação de severidade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Classificação de Frequência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Classe de Risco</w:t>
            </w:r>
          </w:p>
        </w:tc>
      </w:tr>
      <w:tr>
        <w:trPr/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asd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asd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asd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1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C</w:t>
            </w:r>
          </w:p>
        </w:tc>
        <w:tc>
          <w:tcPr>
            <w:tcW w:type="dxa" w:w="1651"/>
            <w:tcBorders/>
          </w:tcPr>
          <w:p>
            <w:pPr>
              <w:spacing/>
              <w:rPr/>
            </w:pPr>
            <w:r>
              <w:rPr/>
              <w:t xml:space="preserve">1</w:t>
            </w:r>
          </w:p>
        </w:tc>
      </w:tr>
    </w:tbl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Histórico de acidentes</w:t>
      </w:r>
    </w:p>
    <w:p>
      <w:pPr>
        <w:pBdr/>
        <w:spacing/>
        <w:rPr/>
      </w:pPr>
    </w:p>
    <w:p>
      <w:pPr>
        <w:spacing/>
        <w:jc w:val="both"/>
        <w:rPr/>
      </w:pPr>
      <w:r>
        <w:rPr/>
        <w:t xml:space="preserve">asd</w:t>
      </w:r>
    </w:p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Conclusões</w:t>
      </w:r>
    </w:p>
    <w:p>
      <w:pPr>
        <w:pBdr/>
        <w:spacing/>
        <w:rPr/>
      </w:pPr>
    </w:p>
    <w:p>
      <w:pPr>
        <w:spacing/>
        <w:jc w:val="both"/>
        <w:rPr/>
      </w:pPr>
      <w:r>
        <w:rPr/>
        <w:t xml:space="preserve">asd</w:t>
      </w:r>
    </w:p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Recomendações</w:t>
      </w:r>
    </w:p>
    <w:p>
      <w:pPr>
        <w:pBdr/>
        <w:spacing/>
        <w:rPr/>
      </w:pPr>
    </w:p>
    <w:p>
      <w:pPr>
        <w:spacing/>
        <w:jc w:val="both"/>
        <w:rPr/>
        <w:sectPr>
          <w:headerReference w:type="first" r:id="rId4"/>
          <w:headerReference w:type="even" r:id="rId5"/>
          <w:headerReference w:type="default" r:id="rId6"/>
          <w:type w:val="continuous"/>
          <w:pgSz w:w="11906" w:h="16838"/>
          <w:pgMar w:top="1000" w:right="1000" w:bottom="1000" w:left="1000" w:gutter="0"/>
          <w:pgBorders/>
          <w:pgNumType w:fmt="decimal"/>
          <w:cols w:equalWidth="1" w:space="720"/>
        </w:sectPr>
      </w:pPr>
      <w:r>
        <w:rPr/>
        <w:t xml:space="preserve">d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b/>
          <w:sz w:val="32"/>
          <w:u w:val="single"/>
        </w:rPr>
        <w:t xml:space="preserve">Anexos</w:t>
      </w:r>
    </w:p>
    <w:p>
      <w:pPr>
        <w:pBdr/>
        <w:spacing/>
        <w:jc w:val="left"/>
        <w:rPr/>
      </w:pPr>
    </w:p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Quadro1</w:t>
      </w:r>
    </w:p>
    <w:p>
      <w:pPr>
        <w:pBdr/>
        <w:spacing/>
        <w:rPr/>
      </w:pPr>
    </w:p>
    <w:p>
      <w:pPr>
        <w:spacing/>
        <w:rPr/>
      </w:pPr>
      <w:r>
        <w:rPr/>
        <w:drawing>
          <wp:inline>
            <wp:extent cx="6350000" cy="5080000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Quadro2</w:t>
      </w:r>
    </w:p>
    <w:p>
      <w:pPr>
        <w:pBdr/>
        <w:spacing/>
        <w:rPr/>
      </w:pPr>
    </w:p>
    <w:p>
      <w:pPr>
        <w:spacing/>
        <w:rPr/>
      </w:pPr>
      <w:r>
        <w:rPr/>
        <w:drawing>
          <wp:inline>
            <wp:extent cx="5715000" cy="3810000"/>
            <wp:docPr id="2" name="Picture 2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Quadro3</w:t>
      </w:r>
    </w:p>
    <w:p>
      <w:pPr>
        <w:pBdr/>
        <w:spacing/>
        <w:rPr/>
      </w:pPr>
    </w:p>
    <w:p>
      <w:pPr>
        <w:spacing/>
        <w:rPr/>
      </w:pPr>
      <w:r>
        <w:rPr/>
        <w:drawing>
          <wp:inline>
            <wp:extent cx="5715000" cy="3810000"/>
            <wp:docPr id="3" name="Picture 3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rPr/>
      </w:pPr>
    </w:p>
    <w:p>
      <w:pPr>
        <w:pBdr/>
        <w:spacing/>
        <w:rPr/>
      </w:pPr>
    </w:p>
    <w:p>
      <w:pPr>
        <w:spacing/>
        <w:rPr/>
      </w:pPr>
      <w:r>
        <w:rPr>
          <w:rFonts w:ascii="Times New Roman" w:hAnsi="Times New Roman" w:eastAsia="Times New Roman" w:cs="Times New Roman"/>
          <w:b w:val="0"/>
          <w:sz w:val="28"/>
          <w:u w:val="single"/>
        </w:rPr>
        <w:t xml:space="preserve">Quadro4</w:t>
      </w:r>
    </w:p>
    <w:p>
      <w:pPr>
        <w:pBdr/>
        <w:spacing/>
        <w:rPr/>
      </w:pPr>
    </w:p>
    <w:p>
      <w:pPr>
        <w:spacing/>
        <w:rPr/>
      </w:pPr>
      <w:r>
        <w:rPr/>
        <w:drawing>
          <wp:inline>
            <wp:extent cx="6350000" cy="3175000"/>
            <wp:docPr id="4" name="Picture 4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first" r:id="rId11"/>
      <w:headerReference w:type="even" r:id="rId12"/>
      <w:headerReference w:type="default" r:id="rId13"/>
      <w:type w:val="continuous"/>
      <w:pgSz w:w="11906" w:h="16838"/>
      <w:pgMar w:top="1000" w:right="1000" w:bottom="10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auto"/>
    <w:pitch w:val="default"/>
    <w:sig w:usb0="00000000" w:usb1="00000000" w:usb2="00000000" w:usb3="00000000" w:csb0="00000000" w:csb1="00000000"/>
  </w:font>
  <w:font w:name="Times New Roman">
    <w:charset w:val="0"/>
    <w:family w:val="auto"/>
    <w:pitch w:val="default"/>
    <w:sig w:usb0="00000000" w:usb1="00000000" w:usb2="00000000" w:usb3="00000000" w:csb0="00000000" w:csb1="00000000"/>
  </w:font>
  <w:font w:name="Symbol">
    <w:charset w:val="0"/>
    <w:family w:val="auto"/>
    <w:pitch w:val="default"/>
    <w:sig w:usb0="00000000" w:usb1="00000000" w:usb2="00000000" w:usb3="00000000" w:csb0="00000000" w:csb1="00000000"/>
  </w:font>
  <w:font w:name="Courier New">
    <w:charset w:val="0"/>
    <w:family w:val="auto"/>
    <w:pitch w:val="default"/>
    <w:sig w:usb0="00000000" w:usb1="00000000" w:usb2="00000000" w:usb3="00000000" w:csb0="00000000" w:csb1="00000000"/>
  </w:font>
  <w:font w:name="Wingdings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1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921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921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1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819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819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1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716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716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614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58489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2" Type="http://schemas.openxmlformats.org/officeDocument/2006/relationships/header" Target="header2.xml" /><Relationship Id="rId5" Type="http://schemas.openxmlformats.org/officeDocument/2006/relationships/header" Target="header5.xml" /><Relationship Id="rId12" Type="http://schemas.openxmlformats.org/officeDocument/2006/relationships/header" Target="header12.xml" /><Relationship Id="rId1" Type="http://schemas.openxmlformats.org/officeDocument/2006/relationships/header" Target="header1.xml" /><Relationship Id="rId4" Type="http://schemas.openxmlformats.org/officeDocument/2006/relationships/header" Target="header4.xml" /><Relationship Id="rId11" Type="http://schemas.openxmlformats.org/officeDocument/2006/relationships/header" Target="header11.xml" /><Relationship Id="rId3" Type="http://schemas.openxmlformats.org/officeDocument/2006/relationships/header" Target="header3.xml" /><Relationship Id="rId6" Type="http://schemas.openxmlformats.org/officeDocument/2006/relationships/header" Target="header6.xml" /><Relationship Id="rId13" Type="http://schemas.openxmlformats.org/officeDocument/2006/relationships/header" Target="header13.xml" /><Relationship Id="rId18" Type="http://schemas.openxmlformats.org/officeDocument/2006/relationships/fontTable" Target="fontTable.xml" /><Relationship Id="rId7" Type="http://schemas.openxmlformats.org/officeDocument/2006/relationships/image" Target="media/image1.jpeg" /><Relationship Id="rId8" Type="http://schemas.openxmlformats.org/officeDocument/2006/relationships/image" Target="media/image2.png" /><Relationship Id="rId9" Type="http://schemas.openxmlformats.org/officeDocument/2006/relationships/image" Target="media/image3.png" /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