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Obs hazard-perception</w:t>
            </w:r>
          </w:p>
        </w:tc>
        <w:tc>
          <w:tcPr>
            <w:tcW w:type="dxa" w:w="1700"/>
          </w:tcPr>
          <w:p>
            <w:r>
              <w:t>pending (approvato, non progettato)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Cambio osservazione veicolo: feature di percezione hazard / agenti vicini. Attacca il limite di percezione emerso da R3. Cambia lo spazio osservazione 44D; non checkpoint-comparabile. Non ancora progettato.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 asse collisione e esaurito. Non promosso; -500 tenuto (non revertato) per decisione utente come base dell esperimento osservazione.</w:t>
      </w:r>
    </w:p>
    <w:p>
      <w:r>
        <w:t>Quadro e prossimo passo. Con la serie D (D1/D2/D3), la serie H (H1/H2/H3) e R3, gli assi ottimizzatore e reward per la vehicle policy risultano esauriti: la SR veicoli resta su un plateau di circa 21-23%. Il vincolo binding (collision circa 25.6%) non e tunabile via reward. Prossimo candidato pianificato, approvato dall utente come variante sperimentale separata: cambio dell osservazione veicolo con feature di percezione hazard / agenti vicini, per attaccare il limite di percezione individuato. Cambia lo spazio osservazione veicolo (attualmente 44D) e non e checkpoint-comparabile con le run precedenti. Non ancora progettato.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