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GOBERNANZA CONTEXTUAL Y REQUISITOS DE SEGURIDAD</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CONTEXTUAL GOVERNANCE, AND SECURITY REQUIREMENTS</w:t>
      </w:r>
    </w:p>
    <w:p>
      <w:pPr>
        <w:pStyle w:val="Heading2"/>
        <w:keepNext/>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artículo técnico presenta el diseño y la implementación de una arquitectura sociotécnica basada en el Protocolo de Contexto de Modelo (</w:t>
      </w:r>
      <w:r>
        <w:rPr>
          <w:rFonts w:ascii="Times New Roman" w:hAnsi="Times New Roman"/>
          <w:i/>
          <w:sz w:val="24"/>
        </w:rPr>
        <w:t>Model Context Protocol</w:t>
      </w:r>
      <w:r>
        <w:rPr>
          <w:rFonts w:ascii="Times New Roman" w:hAnsi="Times New Roman"/>
          <w:sz w:val="24"/>
        </w:rPr>
        <w:t>, MCP) y en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La arquitectura se organiza en tres capas: gobernanza contextual mediante archivos de texto plano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rúbricas analíticas y especificaciones formales de habilidades), interoperabilidad protocolizada con un servidor MCP de sistema de archivos restringido a rutas permitidas y privilegios mínimos, y supervisión docente de los borradores de prediagnóstico generados por el agente. Se describen, además, los instrumentos de transferencia desarrollados: un repositorio plantilla con evaluador automático en Python y flujo de integración continua en GitHub Actions sobre una escala de 100 puntos, y una colección de 35 aplicaciones web interactivas autocontenidas. El trabajo adopta un enfoque de Investigación Basada en el Diseño (DBR) y documenta un pilotaje curricular en dos asignaturas de programación y el diseño y dictado de un taller de transferencia de diez horas reloj, sin presentar datos ni observaciones de participantes como resultados de investigación. Se discuten los requisitos de seguridad conforme a las recomendaciones de OWASP y las implicancias de diseño derivadas de la literatura sobre carga cognitiva y dificultades instrumentales con el control de versiones. Las principales limitaciones son la ausencia de evaluación empírica con participantes, de medición de la calidad pedagógica de las devoluciones y de concordancia con evaluadores humanos. Se concluye que la arquitectura ofrece una base técnica viable y auditable para encauzar la IA hacia una asistencia formativa supervisada, cuya eficacia pedagógica deberá evaluarse en estudios posteriores con las garantías éticas correspondientes.</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pStyle w:val="Heading2"/>
        <w:keepNext/>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assessment practices in university programming education. This technical paper presents the design and implementation of a sociotechnical architecture based on the Model Context Protocol (MCP) and the active Human-in-the-Loop (HITL) principle to support continuous formative assessment. The architecture comprises three layers: contextual governance through plain-text files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analytical rubrics, and formal skill specifications), protocolized interoperability through a file-system MCP server restricted to allowed paths and least privileges, and teacher supervision of the diagnostic drafts produced by the agent. The paper also describes the transfer instruments developed: a template repository with a Python autograder and a GitHub Actions continuous integration workflow on a 100-point scale, and a collection of 35 self-contained interactive web applications. Following a Design-Based Research (DBR) approach, it documents a curricular pilot in two programming courses and the design and delivery of a ten-hour transfer workshop, without presenting data or observations from participants as research results. Security requirements are discussed in line with OWASP recommendations, together with design implications drawn from the literature on cognitive load and the instrumental difficulties of version control systems. The main limitations are the absence of empirical evaluation with participants, of measures of the pedagogical quality of the feedback, and of agreement with human raters, so no claims are made about learning outcomes or adoption. We conclude that the architecture offers a viable and auditable technical basis for steering AI toward supervised formative assistance, whose pedagogical effectiveness must be assessed in subsequent studies with appropriate ethical safeguards.</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pStyle w:val="Heading1"/>
        <w:keepNext/>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artículo técnico tiene como objetivo general: </w:t>
      </w:r>
      <w:r>
        <w:rPr>
          <w:rFonts w:ascii="Times New Roman" w:hAnsi="Times New Roman"/>
          <w:b/>
          <w:sz w:val="24"/>
        </w:rPr>
        <w:t>diseñar e implementar una arquitectura sociotécnica basada en MCP y supervisión docente activa para asistir la evaluación formativa continua en asignaturas universitarias de programación, así como describir sus instrumentos de transferencia y sus requisitos de seguridad y gobernanza</w:t>
      </w:r>
      <w:r>
        <w:rPr>
          <w:rFonts w:ascii="Times New Roman" w:hAnsi="Times New Roman"/>
          <w:sz w:val="24"/>
        </w:rPr>
        <w:t>.</w:t>
      </w:r>
    </w:p>
    <w:p>
      <w:pPr>
        <w:spacing w:line="240" w:lineRule="auto" w:after="120" w:before="0"/>
      </w:pPr>
      <w:r>
        <w:rPr>
          <w:rFonts w:ascii="Times New Roman" w:hAnsi="Times New Roman"/>
          <w:sz w:val="24"/>
        </w:rPr>
        <w:t>Para orientar el trabajo, se definieron tres preguntas:</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requisitos de seguridad y gobernanza debe satisfacer la configuración MCP para operar de manera auditable en entornos locales de evaluación?</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recursos y rutas de transferencia se diseñaron para facilitar la apropiación de la arquitectura por parte de docentes y qué consideraciones de diseño derivan de la literatura?</w:t>
      </w:r>
    </w:p>
    <w:p>
      <w:pPr>
        <w:pStyle w:val="Heading1"/>
        <w:keepNext/>
        <w:spacing w:before="280" w:after="120"/>
        <w:jc w:val="center"/>
      </w:pPr>
      <w:r>
        <w:rPr>
          <w:rFonts w:ascii="Times New Roman" w:hAnsi="Times New Roman"/>
          <w:b/>
          <w:sz w:val="24"/>
        </w:rPr>
        <w:t>2. MÉTODOS</w:t>
      </w:r>
    </w:p>
    <w:p>
      <w:pPr>
        <w:pStyle w:val="Heading2"/>
        <w:keepNext/>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trabajo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orientado al diseño de artefactos.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incidencias técnicas identificadas durante el pilotaje de la arquitectura permitieron ajustar las restricciones de </w:t>
      </w:r>
      <w:r>
        <w:rPr>
          <w:rFonts w:ascii="Times New Roman" w:hAnsi="Times New Roman"/>
          <w:i/>
          <w:sz w:val="24"/>
        </w:rPr>
        <w:t>AGENTS.md</w:t>
      </w:r>
      <w:r>
        <w:rPr>
          <w:rFonts w:ascii="Times New Roman" w:hAnsi="Times New Roman"/>
          <w:sz w:val="24"/>
        </w:rPr>
        <w:t>, reorganizar las rúbricas y simplificar las plantillas del repositorio de transferencia. Estos ajustes se refirieron al funcionamiento de los artefactos y a la estructura de las salidas generadas, sin recopilar ni analizar información de estudiantes o docentes como participantes de investigación.</w:t>
      </w:r>
    </w:p>
    <w:p>
      <w:pPr>
        <w:spacing w:line="240" w:lineRule="auto" w:after="120" w:before="0"/>
      </w:pPr>
      <w:r>
        <w:rPr>
          <w:rFonts w:ascii="Times New Roman" w:hAnsi="Times New Roman"/>
          <w:sz w:val="24"/>
        </w:rPr>
        <w:t>El alcance del trabajo se circunscribe a la descripción de la arquitectura, de sus artefactos de gobernanza, de la configuración MCP, del repositorio con su flujo de integración continua y de los requisitos de seguridad. No se evaluaron la calidad pedagógica de las devoluciones generadas, su concordancia con evaluadores humanos, la mejora del aprendizaje ni el ahorro efectivo de tiempo docente, y no se presentan datos ni observaciones de participantes humanos como resultados de investigación.</w:t>
      </w:r>
    </w:p>
    <w:p>
      <w:pPr>
        <w:pStyle w:val="Heading2"/>
        <w:keepNext/>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(entendido como un análisis técnico preliminar de una entrega, sin valor evaluativo definitivo hasta su revisión docente)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Diseño de la experiencia de transferencia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 Esta fase se describe como parte del diseño de los recursos de transferencia; no se informan datos ni observaciones de los asistentes como resultados.</w:t>
      </w:r>
    </w:p>
    <w:p>
      <w:pPr>
        <w:pStyle w:val="Heading2"/>
        <w:keepNext/>
        <w:spacing w:before="200" w:after="80"/>
        <w:jc w:val="left"/>
      </w:pPr>
      <w:r>
        <w:rPr>
          <w:rFonts w:ascii="Times New Roman" w:hAnsi="Times New Roman"/>
          <w:b/>
          <w:sz w:val="24"/>
        </w:rPr>
        <w:t>2.3.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keepNext/>
        <w:pageBreakBefore/>
        <w:spacing w:line="240" w:lineRule="auto" w:before="240" w:after="40"/>
      </w:pPr>
      <w:r>
        <w:rPr>
          <w:rFonts w:ascii="Times New Roman" w:hAnsi="Times New Roman"/>
          <w:b/>
          <w:sz w:val="24"/>
        </w:rPr>
        <w:t>Figura 1</w:t>
      </w:r>
    </w:p>
    <w:p>
      <w:pPr>
        <w:keepNext/>
        <w:spacing w:line="240" w:lineRule="auto" w:before="0" w:after="120"/>
      </w:pPr>
      <w:r>
        <w:rPr>
          <w:rFonts w:ascii="Times New Roman" w:hAnsi="Times New Roman"/>
          <w:i/>
          <w:sz w:val="24"/>
        </w:rPr>
        <w:t>Arquitectura sociotécnica de tres capas para la evaluación continua asistida por agentes</w:t>
      </w:r>
    </w:p>
    <w:p>
      <w:pPr>
        <w:keepNext/>
        <w:spacing w:before="80" w:after="80"/>
        <w:jc w:val="center"/>
      </w:pPr>
      <w:r>
        <w:drawing>
          <wp:inline xmlns:a="http://schemas.openxmlformats.org/drawingml/2006/main" xmlns:pic="http://schemas.openxmlformats.org/drawingml/2006/picture">
            <wp:extent cx="5040000" cy="3528000"/>
            <wp:docPr id="1" name="Picture 1" title="Figura 1. Arquitectura sociotécnica MCP y supervisión docente activa" descr="Diagrama de la arquitectura sociotécnica de evaluación continua asistida por agentes, organizada en tres capas: gobernanza contextual, interoperabilidad mediante MCP y supervisión docente."/>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040000" cy="35280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Times New Roman" w:hAnsi="Times New Roman"/>
          <w:i/>
          <w:sz w:val="24"/>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Times New Roman" w:hAnsi="Times New Roman"/>
          <w:i/>
          <w:sz w:val="24"/>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Times New Roman" w:hAnsi="Times New Roman"/>
          <w:i/>
          <w:sz w:val="24"/>
        </w:rPr>
        <w:t>&lt;contexto&gt;</w:t>
      </w:r>
      <w:r>
        <w:rPr>
          <w:rFonts w:ascii="Times New Roman" w:hAnsi="Times New Roman"/>
          <w:sz w:val="24"/>
        </w:rPr>
        <w:t xml:space="preserve">, </w:t>
      </w:r>
      <w:r>
        <w:rPr>
          <w:rFonts w:ascii="Times New Roman" w:hAnsi="Times New Roman"/>
          <w:i/>
          <w:sz w:val="24"/>
        </w:rPr>
        <w:t>&lt;restricciones&gt;</w:t>
      </w:r>
      <w:r>
        <w:rPr>
          <w:rFonts w:ascii="Times New Roman" w:hAnsi="Times New Roman"/>
          <w:sz w:val="24"/>
        </w:rPr>
        <w:t xml:space="preserve">, </w:t>
      </w:r>
      <w:r>
        <w:rPr>
          <w:rFonts w:ascii="Times New Roman" w:hAnsi="Times New Roman"/>
          <w:i/>
          <w:sz w:val="24"/>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se diseñó para requerir la restricción de la ejecución a rutas locales aisladas, la aplicación de privilegios mínimos y el establecimiento de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implementación, verificación técnica y transferencia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Times New Roman" w:hAnsi="Times New Roman"/>
          <w:i/>
          <w:sz w:val="24"/>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pStyle w:val="Heading2"/>
        <w:keepNext/>
        <w:spacing w:before="200" w:after="80"/>
        <w:jc w:val="left"/>
      </w:pPr>
      <w:r>
        <w:rPr>
          <w:rFonts w:ascii="Times New Roman" w:hAnsi="Times New Roman"/>
          <w:b/>
          <w:sz w:val="24"/>
        </w:rPr>
        <w:t>2.4.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Times New Roman" w:hAnsi="Times New Roman"/>
          <w:i/>
          <w:sz w:val="24"/>
        </w:rPr>
        <w:t>rubrica.md</w:t>
      </w:r>
      <w:r>
        <w:rPr>
          <w:rFonts w:ascii="Times New Roman" w:hAnsi="Times New Roman"/>
          <w:sz w:val="24"/>
        </w:rPr>
        <w:t>, 20 puntos) y de la habilidad formal de evaluación (</w:t>
      </w:r>
      <w:r>
        <w:rPr>
          <w:rFonts w:ascii="Times New Roman" w:hAnsi="Times New Roman"/>
          <w:i/>
          <w:sz w:val="24"/>
        </w:rPr>
        <w:t>skill_evaluador.md</w:t>
      </w:r>
      <w:r>
        <w:rPr>
          <w:rFonts w:ascii="Times New Roman" w:hAnsi="Times New Roman"/>
          <w:sz w:val="24"/>
        </w:rPr>
        <w:t>, 20 puntos) utilizando plantillas predefinidas del toolkit docente, finalizando con la verificación de la suite de pruebas local (</w:t>
      </w:r>
      <w:r>
        <w:rPr>
          <w:rFonts w:ascii="Times New Roman" w:hAnsi="Times New Roman"/>
          <w:i/>
          <w:sz w:val="24"/>
        </w:rPr>
        <w:t>python autograder_taller.py</w:t>
      </w:r>
      <w:r>
        <w:rPr>
          <w:rFonts w:ascii="Times New Roman" w:hAnsi="Times New Roman"/>
          <w:sz w:val="24"/>
        </w:rPr>
        <w:t>) y la sincronización con el repositorio remoto.</w:t>
      </w:r>
    </w:p>
    <w:p>
      <w:pPr>
        <w:pStyle w:val="Heading2"/>
        <w:keepNext/>
        <w:spacing w:before="200" w:after="80"/>
        <w:jc w:val="left"/>
      </w:pPr>
      <w:r>
        <w:rPr>
          <w:rFonts w:ascii="Times New Roman" w:hAnsi="Times New Roman"/>
          <w:b/>
          <w:sz w:val="24"/>
        </w:rPr>
        <w:t>2.5. Alcance de los datos y consideraciones éticas</w:t>
      </w:r>
    </w:p>
    <w:p>
      <w:pPr>
        <w:spacing w:line="240" w:lineRule="auto" w:after="120" w:before="0"/>
      </w:pPr>
      <w:r>
        <w:rPr>
          <w:rFonts w:ascii="Times New Roman" w:hAnsi="Times New Roman"/>
          <w:sz w:val="24"/>
        </w:rPr>
        <w:t>Este trabajo no recopila ni analiza datos de participantes humanos como objeto de estudio. La experiencia de transferencia se describe únicamente como contexto de diseño de los recursos formativos, sin informar frecuencias de progresión, observaciones de conducta, verbalizaciones ni notas de campo. Las observaciones del pilotaje curricular se refieren al comportamiento de la arquitectura y a la estructura de los borradores generados bajo supervisión docente, en el marco de la actividad ordinaria de enseñanza, y no incluyen información de estudiantes.</w:t>
      </w:r>
    </w:p>
    <w:p>
      <w:pPr>
        <w:pStyle w:val="Heading1"/>
        <w:keepNext/>
        <w:spacing w:before="280" w:after="120"/>
        <w:jc w:val="center"/>
      </w:pPr>
      <w:r>
        <w:rPr>
          <w:rFonts w:ascii="Times New Roman" w:hAnsi="Times New Roman"/>
          <w:b/>
          <w:sz w:val="24"/>
        </w:rPr>
        <w:t>3. RESULTADOS TÉCNICOS</w:t>
      </w:r>
    </w:p>
    <w:p>
      <w:pPr>
        <w:pStyle w:val="Heading2"/>
        <w:keepNext/>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las verificaciones funcionales realizadas permitieron constatar de manera exploratoria la viabilidad técnica de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Times New Roman" w:hAnsi="Times New Roman"/>
          <w:i/>
          <w:sz w:val="24"/>
        </w:rPr>
        <w:t>rubrica.md</w:t>
      </w:r>
      <w:r>
        <w:rPr>
          <w:rFonts w:ascii="Times New Roman" w:hAnsi="Times New Roman"/>
          <w:sz w:val="24"/>
        </w:rPr>
        <w:t xml:space="preserve"> y generando borradores de devolución que citaban números de línea concretos. Como verificación técnica exploratoria del comportamiento del sistema durante el pilotaje de los artefactos, los prediagnósticos generados bajo habilidades estructuradas mostraron, a nivel descriptivo, una pauta de organización compuesta por: (a) identificación de fortalezas técnicas, (b) señalamiento de inconsistencias algorítmicas con cita textual de código y (c) formulación de preguntas orientadoras para la corrección autónoma. Esta regularidad estructural procede de observaciones técnicas exploratorias y debe leerse como evidencia descriptiva del formato de salida del modelo: no se acompañó de un recuento sistemático de entregas, prediagnósticos generados ni revisiones docentes, constituyendo una característica sujeta a posterior validación empírica.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pStyle w:val="Heading2"/>
        <w:keepNext/>
        <w:spacing w:before="200" w:after="80"/>
        <w:jc w:val="left"/>
      </w:pPr>
      <w:r>
        <w:rPr>
          <w:rFonts w:ascii="Times New Roman" w:hAnsi="Times New Roman"/>
          <w:b/>
          <w:sz w:val="24"/>
        </w:rPr>
        <w:t>3.2. Flujo de integración continua y evaluador automático (PI1)</w:t>
      </w:r>
    </w:p>
    <w:p>
      <w:pPr>
        <w:spacing w:line="240" w:lineRule="auto" w:after="120" w:before="0"/>
      </w:pPr>
      <w:r>
        <w:rPr>
          <w:rFonts w:ascii="Times New Roman" w:hAnsi="Times New Roman"/>
          <w:sz w:val="24"/>
        </w:rPr>
        <w:t>El repositorio plantilla incorpora un evaluador automático en Python (</w:t>
      </w:r>
      <w:r>
        <w:rPr>
          <w:rFonts w:ascii="Times New Roman" w:hAnsi="Times New Roman"/>
          <w:i/>
          <w:sz w:val="24"/>
        </w:rPr>
        <w:t>autograder_taller.py</w:t>
      </w:r>
      <w:r>
        <w:rPr>
          <w:rFonts w:ascii="Times New Roman" w:hAnsi="Times New Roman"/>
          <w:sz w:val="24"/>
        </w:rPr>
        <w:t xml:space="preserve">) y un flujo de trabajo de integración continua en GitHub Actions configurado sobre una escala de 100 puntos. La puntuación se distribuye en tres componentes: 60 puntos acumulados durante la primera jornada (configuración de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programa analítico y cuestionario de fundamentos), 20 puntos por la rúbrica del trabajo práctico (</w:t>
      </w:r>
      <w:r>
        <w:rPr>
          <w:rFonts w:ascii="Times New Roman" w:hAnsi="Times New Roman"/>
          <w:i/>
          <w:sz w:val="24"/>
        </w:rPr>
        <w:t>rubrica.md</w:t>
      </w:r>
      <w:r>
        <w:rPr>
          <w:rFonts w:ascii="Times New Roman" w:hAnsi="Times New Roman"/>
          <w:sz w:val="24"/>
        </w:rPr>
        <w:t>) y 20 puntos por la habilidad formal de evaluación (</w:t>
      </w:r>
      <w:r>
        <w:rPr>
          <w:rFonts w:ascii="Times New Roman" w:hAnsi="Times New Roman"/>
          <w:i/>
          <w:sz w:val="24"/>
        </w:rPr>
        <w:t>skill_evaluador.md</w:t>
      </w:r>
      <w:r>
        <w:rPr>
          <w:rFonts w:ascii="Times New Roman" w:hAnsi="Times New Roman"/>
          <w:sz w:val="24"/>
        </w:rPr>
        <w:t>). Esta correspondencia entre los pasos del procedimiento y el puntaje permite verificar cada avance de manera automática y reproducible.</w:t>
      </w:r>
    </w:p>
    <w:p>
      <w:pPr>
        <w:pStyle w:val="Heading2"/>
        <w:keepNext/>
        <w:spacing w:before="200" w:after="80"/>
        <w:jc w:val="left"/>
      </w:pPr>
      <w:r>
        <w:rPr>
          <w:rFonts w:ascii="Times New Roman" w:hAnsi="Times New Roman"/>
          <w:b/>
          <w:sz w:val="24"/>
        </w:rPr>
        <w:t>3.3. Requisitos de seguridad y gobernanza de la configuración MCP (PI2)</w:t>
      </w:r>
    </w:p>
    <w:p>
      <w:pPr>
        <w:spacing w:line="240" w:lineRule="auto" w:after="120" w:before="0"/>
      </w:pPr>
      <w:r>
        <w:rPr>
          <w:rFonts w:ascii="Times New Roman" w:hAnsi="Times New Roman"/>
          <w:sz w:val="24"/>
        </w:rPr>
        <w:t>En términos de seguridad informática, y conforme a las directrices de OWASP (2025), la configuración del servidor MCP de sistema de archivos se diseñó para requerir:</w:t>
      </w:r>
    </w:p>
    <w:p>
      <w:pPr>
        <w:spacing w:line="240" w:lineRule="auto" w:after="120" w:before="0"/>
      </w:pPr>
      <w:r>
        <w:rPr>
          <w:rFonts w:ascii="Times New Roman" w:hAnsi="Times New Roman"/>
          <w:sz w:val="24"/>
        </w:rPr>
        <w:t>- restringir la ejecución a rutas locales aisladas y establecer listas de directorios permitidos;</w:t>
      </w:r>
    </w:p>
    <w:p>
      <w:pPr>
        <w:spacing w:line="240" w:lineRule="auto" w:after="120" w:before="0"/>
      </w:pPr>
      <w:r>
        <w:rPr>
          <w:rFonts w:ascii="Times New Roman" w:hAnsi="Times New Roman"/>
          <w:sz w:val="24"/>
        </w:rPr>
        <w:t>- aplicar privilegios mínimos, limitando las herramientas del agente a listar directorios y leer archivos de código;</w:t>
      </w:r>
    </w:p>
    <w:p>
      <w:pPr>
        <w:spacing w:line="240" w:lineRule="auto" w:after="120" w:before="0"/>
      </w:pPr>
      <w:r>
        <w:rPr>
          <w:rFonts w:ascii="Times New Roman" w:hAnsi="Times New Roman"/>
          <w:sz w:val="24"/>
        </w:rPr>
        <w:t>- adoptar mecanismos de protección de credenciales para reducir el riesgo de exposición y de accesos no autorizados al sistema operativo;</w:t>
      </w:r>
    </w:p>
    <w:p>
      <w:pPr>
        <w:spacing w:line="240" w:lineRule="auto" w:after="120" w:before="0"/>
      </w:pPr>
      <w:r>
        <w:rPr>
          <w:rFonts w:ascii="Times New Roman" w:hAnsi="Times New Roman"/>
          <w:sz w:val="24"/>
        </w:rPr>
        <w:t>- exigir que cada observación del agente se asocie a evidencias verificables en el código, y que el docente verifique esas evidencias y apruebe la devolución definitiva.</w:t>
      </w:r>
    </w:p>
    <w:p>
      <w:pPr>
        <w:pStyle w:val="Heading2"/>
        <w:keepNext/>
        <w:spacing w:before="200" w:after="80"/>
        <w:jc w:val="left"/>
      </w:pPr>
      <w:r>
        <w:rPr>
          <w:rFonts w:ascii="Times New Roman" w:hAnsi="Times New Roman"/>
          <w:b/>
          <w:sz w:val="24"/>
        </w:rPr>
        <w:t>3.4. Consideraciones de diseño para la transferencia (PI3)</w:t>
      </w:r>
    </w:p>
    <w:p>
      <w:pPr>
        <w:spacing w:line="240" w:lineRule="auto" w:after="120" w:before="0"/>
      </w:pPr>
      <w:r>
        <w:rPr>
          <w:rFonts w:ascii="Times New Roman" w:hAnsi="Times New Roman"/>
          <w:sz w:val="24"/>
        </w:rPr>
        <w:t>El diseño de la experiencia de transferencia incorporó dos canales de acceso: un flujo técnico completo (Git, consola y GitHub Actions) y recursos web desacoplados (</w:t>
      </w:r>
      <w:r>
        <w:rPr>
          <w:rFonts w:ascii="Times New Roman" w:hAnsi="Times New Roman"/>
          <w:i/>
          <w:sz w:val="24"/>
        </w:rPr>
        <w:t>index.html</w:t>
      </w:r>
      <w:r>
        <w:rPr>
          <w:rFonts w:ascii="Times New Roman" w:hAnsi="Times New Roman"/>
          <w:sz w:val="24"/>
        </w:rPr>
        <w:t xml:space="preserve"> y el banco de 35 aplicaciones interactivas) que no requieren consola. Esta duplicidad responde a una hipótesis de diseño sustentada en la literatura, y no en datos propios de adopción: la carga instrumental simultánea compite con el aprendizaje conceptual (Sweller, 1988; Kirschner et al., 2006) y Git presenta dificultades conceptuales para usuarios sin experiencia previa (Perez De Rosso &amp; Jackson, 2013). La evaluación empírica de esta hipótesis requerirá un estudio específico con las garantías éticas correspondientes.</w:t>
      </w:r>
    </w:p>
    <w:p>
      <w:pPr>
        <w:pStyle w:val="Heading1"/>
        <w:keepNext/>
        <w:spacing w:before="280" w:after="120"/>
        <w:jc w:val="center"/>
      </w:pPr>
      <w:r>
        <w:rPr>
          <w:rFonts w:ascii="Times New Roman" w:hAnsi="Times New Roman"/>
          <w:b/>
          <w:sz w:val="24"/>
        </w:rPr>
        <w:t>4. DISCUSIÓN</w:t>
      </w:r>
    </w:p>
    <w:p>
      <w:pPr>
        <w:pStyle w:val="Heading2"/>
        <w:keepNext/>
        <w:spacing w:before="200" w:after="80"/>
        <w:jc w:val="left"/>
      </w:pPr>
      <w:r>
        <w:rPr>
          <w:rFonts w:ascii="Times New Roman" w:hAnsi="Times New Roman"/>
          <w:b/>
          <w:sz w:val="24"/>
        </w:rPr>
        <w:t>4.1. Especificaciones formales y consistencia en los prediagnósticos</w:t>
      </w:r>
    </w:p>
    <w:p>
      <w:pPr>
        <w:spacing w:line="240" w:lineRule="auto" w:after="120" w:before="0"/>
      </w:pPr>
      <w:r>
        <w:rPr>
          <w:rFonts w:ascii="Times New Roman" w:hAnsi="Times New Roman"/>
          <w:sz w:val="24"/>
        </w:rPr>
        <w:t xml:space="preserve">A nivel de verificación técnica exploratoria durante el pilotaje de los artefactos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la subordinación del agente a archivos </w:t>
      </w:r>
      <w:r>
        <w:rPr>
          <w:rFonts w:ascii="Times New Roman" w:hAnsi="Times New Roman"/>
          <w:i/>
          <w:sz w:val="24"/>
        </w:rPr>
        <w:t>AGENTS.md</w:t>
      </w:r>
      <w:r>
        <w:rPr>
          <w:rFonts w:ascii="Times New Roman" w:hAnsi="Times New Roman"/>
          <w:sz w:val="24"/>
        </w:rPr>
        <w:t xml:space="preserve"> y rúbricas analíticas formalizadas sugirió preliminarmente una mayor regularidad en la estructura de los borradores de prediagnóstico.</w:t>
      </w:r>
    </w:p>
    <w:p>
      <w:pPr>
        <w:spacing w:line="240" w:lineRule="auto" w:after="120" w:before="0"/>
      </w:pPr>
      <w:r>
        <w:rPr>
          <w:rFonts w:ascii="Times New Roman" w:hAnsi="Times New Roman"/>
          <w:sz w:val="24"/>
        </w:rPr>
        <w:t xml:space="preserve">Desde la perspectiva del diseño sociotécnico, la exigencia protocolizada de vincular cada dictamen a evidencias localizables en el código se concibió como un mecanismo para favorecer la trazabilidad y la detección de eventuales afirmaciones erróneas durante la revisión humana, estableciendo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regularidad observada requiere ser validada en investigaciones futuras mediante coeficientes estandarizados de concordancia interjueces y diseños cuasiexperimentales controlados. Esta cautela es consistente con las revisiones sobre rúbricas analíticas, que asocian criterios explícitos y descriptores de desempeño con una mayor consistencia de las puntuaciones sin que ello garantice por sí solo la validez de la evaluación (Jonsson &amp; Svingby, 2007); en este trabajo, la formalización de criterios en </w:t>
      </w:r>
      <w:r>
        <w:rPr>
          <w:rFonts w:ascii="Times New Roman" w:hAnsi="Times New Roman"/>
          <w:i/>
          <w:sz w:val="24"/>
        </w:rPr>
        <w:t>rubrica.md</w:t>
      </w:r>
      <w:r>
        <w:rPr>
          <w:rFonts w:ascii="Times New Roman" w:hAnsi="Times New Roman"/>
          <w:sz w:val="24"/>
        </w:rPr>
        <w:t xml:space="preserve"> constituye una condición plausible, pero no demostrada, de la regularidad aparente observada.</w:t>
      </w:r>
    </w:p>
    <w:p>
      <w:pPr>
        <w:pStyle w:val="Heading2"/>
        <w:keepNext/>
        <w:spacing w:before="200" w:after="80"/>
        <w:jc w:val="left"/>
      </w:pPr>
      <w:r>
        <w:rPr>
          <w:rFonts w:ascii="Times New Roman" w:hAnsi="Times New Roman"/>
          <w:b/>
          <w:sz w:val="24"/>
        </w:rPr>
        <w:t>4.2. Supervisión humana (*Human-in-the-Loop*) y gobernanza ética</w:t>
      </w:r>
    </w:p>
    <w:p>
      <w:pPr>
        <w:spacing w:line="240" w:lineRule="auto" w:after="120" w:before="0"/>
      </w:pPr>
      <w:r>
        <w:rPr>
          <w:rFonts w:ascii="Times New Roman" w:hAnsi="Times New Roman"/>
          <w:sz w:val="24"/>
        </w:rPr>
        <w:t>El marco conceptual y las verificaciones funcionales realizadas sustentan la hipótesis de diseño de emplear a los agentes exclusivamente como asistentes de diagnóstico preliminar, manteniendo la decisión evaluativa final bajo responsabilidad docente. La generación de prediagnósticos orientados a la localización y el cotejo de patrones de código podría reducir parte del trabajo rutinario de revisión. No obstante, esta posibilidad no fue evaluada mediante un protocolo temporal controlado y deberá analizarse en estudios posteriores. Este rol de supervisión coincide con la evidencia de que la eficacia de la retroalimentación depende de su especificidad, su vínculo con la tarea y su orientación hacia la acción (Hattie &amp; Timperley, 2007), atributos que la revisión docente permite verificar antes de comunicarla, y con las advertencias sobre inexactitudes y variabilidad de los modelos generativos en la educación en computación (Denny et al., 2024; Lau &amp; Guo, 2023).</w:t>
      </w:r>
    </w:p>
    <w:p>
      <w:pPr>
        <w:spacing w:line="240" w:lineRule="auto" w:after="120" w:before="0"/>
      </w:pPr>
      <w:r>
        <w:rPr>
          <w:rFonts w:ascii="Times New Roman" w:hAnsi="Times New Roman"/>
          <w:sz w:val="24"/>
        </w:rPr>
        <w:t>Delegar la retroalimentación final directamente en un modelo generativo, sin intervención humana, puede debilitar la responsabilidad pedagógica e incrementar la exposición del estudiante a respuestas inexactas o sesgadas. La supervisión activa no representa un obstáculo burocrático, sino una salvaguarda central de la arquitectura propuesta para que la tecnología opere de manera ética y formativamente significativa.</w:t>
      </w:r>
    </w:p>
    <w:p>
      <w:pPr>
        <w:pStyle w:val="Heading2"/>
        <w:keepNext/>
        <w:spacing w:before="200" w:after="80"/>
        <w:jc w:val="left"/>
      </w:pPr>
      <w:r>
        <w:rPr>
          <w:rFonts w:ascii="Times New Roman" w:hAnsi="Times New Roman"/>
          <w:b/>
          <w:sz w:val="24"/>
        </w:rPr>
        <w:t>4.3. Implicaciones de diseño para la adopción</w:t>
      </w:r>
    </w:p>
    <w:p>
      <w:pPr>
        <w:spacing w:line="240" w:lineRule="auto" w:after="120" w:before="0"/>
      </w:pPr>
      <w:r>
        <w:rPr>
          <w:rFonts w:ascii="Times New Roman" w:hAnsi="Times New Roman"/>
          <w:sz w:val="24"/>
        </w:rPr>
        <w:t>Para que arquitecturas basadas en MCP puedan ser adoptadas de forma amplia por docentes universitarios de diversas disciplinas, es razonable encapsular la complejidad de la consola mediante editores con interfaces gráficas amigables, extensiones integradas o plataformas de aprendizaje nativas que no requieran manipular directamente flujos de Git de bajo nivel. Esta recomendación se apoya en la teoría de la carga cognitiva (Sweller, 1988), en la evidencia sobre la menor eficacia de la guía mínima para quienes tienen poca experiencia previa (Kirschner et al., 2006) y en el análisis conceptual de las dificultades de Git (Perez De Rosso &amp; Jackson, 2013), y se formula como hipótesis de diseño a evaluar, no como hallazgo empírico.</w:t>
      </w:r>
    </w:p>
    <w:p>
      <w:pPr>
        <w:pStyle w:val="Heading2"/>
        <w:keepNext/>
        <w:spacing w:before="200" w:after="80"/>
        <w:jc w:val="left"/>
      </w:pPr>
      <w:r>
        <w:rPr>
          <w:rFonts w:ascii="Times New Roman" w:hAnsi="Times New Roman"/>
          <w:b/>
          <w:sz w:val="24"/>
        </w:rPr>
        <w:t>4.4. Limitaciones</w:t>
      </w:r>
    </w:p>
    <w:p>
      <w:pPr>
        <w:spacing w:line="240" w:lineRule="auto" w:after="120" w:before="0"/>
      </w:pPr>
      <w:r>
        <w:rPr>
          <w:rFonts w:ascii="Times New Roman" w:hAnsi="Times New Roman"/>
          <w:sz w:val="24"/>
        </w:rPr>
        <w:t xml:space="preserve">1. </w:t>
      </w:r>
      <w:r>
        <w:rPr>
          <w:rFonts w:ascii="Times New Roman" w:hAnsi="Times New Roman"/>
          <w:b/>
          <w:sz w:val="24"/>
        </w:rPr>
        <w:t>Ausencia de evaluación empírica con participantes:</w:t>
      </w:r>
      <w:r>
        <w:rPr>
          <w:rFonts w:ascii="Times New Roman" w:hAnsi="Times New Roman"/>
          <w:sz w:val="24"/>
        </w:rPr>
        <w:t xml:space="preserve"> No se presentan datos ni observaciones de participantes humanos como resultados, por lo que el trabajo no permite inferir adopción, aprendizaje ni satisfacción.</w:t>
      </w:r>
    </w:p>
    <w:p>
      <w:pPr>
        <w:spacing w:line="240" w:lineRule="auto" w:after="120" w:before="0"/>
      </w:pPr>
      <w:r>
        <w:rPr>
          <w:rFonts w:ascii="Times New Roman" w:hAnsi="Times New Roman"/>
          <w:sz w:val="24"/>
        </w:rPr>
        <w:t xml:space="preserve">2. </w:t>
      </w:r>
      <w:r>
        <w:rPr>
          <w:rFonts w:ascii="Times New Roman" w:hAnsi="Times New Roman"/>
          <w:b/>
          <w:sz w:val="24"/>
        </w:rPr>
        <w:t>Carácter exploratorio de las observaciones del comportamiento del sistema:</w:t>
      </w:r>
      <w:r>
        <w:rPr>
          <w:rFonts w:ascii="Times New Roman" w:hAnsi="Times New Roman"/>
          <w:sz w:val="24"/>
        </w:rPr>
        <w:t xml:space="preserve"> Las apreciaciones sobre la regularidad estructural de las salidas generadas proceden de verificaciones técnicas exploratorias que no registraron de manera sistemática la cantidad de entregas analizadas, de borradores generados, de docentes revisores, de afirmaciones erróneas detectadas ni la proporción de borradores aceptados o modificados; en consecuencia, no permiten inferir calidad pedagógica, exactitud ni causalidad.</w:t>
      </w:r>
    </w:p>
    <w:p>
      <w:pPr>
        <w:spacing w:line="240" w:lineRule="auto" w:after="120" w:before="0"/>
      </w:pPr>
      <w:r>
        <w:rPr>
          <w:rFonts w:ascii="Times New Roman" w:hAnsi="Times New Roman"/>
          <w:sz w:val="24"/>
        </w:rPr>
        <w:t xml:space="preserve">3. </w:t>
      </w:r>
      <w:r>
        <w:rPr>
          <w:rFonts w:ascii="Times New Roman" w:hAnsi="Times New Roman"/>
          <w:b/>
          <w:sz w:val="24"/>
        </w:rPr>
        <w:t>Ausencia de medición de calidad y concordancia:</w:t>
      </w:r>
      <w:r>
        <w:rPr>
          <w:rFonts w:ascii="Times New Roman" w:hAnsi="Times New Roman"/>
          <w:sz w:val="24"/>
        </w:rPr>
        <w:t xml:space="preserve"> No se evaluó la exactitud de las devoluciones frente a evaluadores humanos ni la consistencia interjueces.</w:t>
      </w:r>
    </w:p>
    <w:p>
      <w:pPr>
        <w:spacing w:line="240" w:lineRule="auto" w:after="120" w:before="0"/>
      </w:pPr>
      <w:r>
        <w:rPr>
          <w:rFonts w:ascii="Times New Roman" w:hAnsi="Times New Roman"/>
          <w:sz w:val="24"/>
        </w:rPr>
        <w:t xml:space="preserve">4. </w:t>
      </w:r>
      <w:r>
        <w:rPr>
          <w:rFonts w:ascii="Times New Roman" w:hAnsi="Times New Roman"/>
          <w:b/>
          <w:sz w:val="24"/>
        </w:rPr>
        <w:t>Ausencia de medición de eficiencia:</w:t>
      </w:r>
      <w:r>
        <w:rPr>
          <w:rFonts w:ascii="Times New Roman" w:hAnsi="Times New Roman"/>
          <w:sz w:val="24"/>
        </w:rPr>
        <w:t xml:space="preserve"> No se evaluó mediante un protocolo temporal controlado si la arquitectura reduce el tiempo de revisión docente.</w:t>
      </w:r>
    </w:p>
    <w:p>
      <w:pPr>
        <w:spacing w:line="240" w:lineRule="auto" w:after="120" w:before="0"/>
      </w:pPr>
      <w:r>
        <w:rPr>
          <w:rFonts w:ascii="Times New Roman" w:hAnsi="Times New Roman"/>
          <w:sz w:val="24"/>
        </w:rPr>
        <w:t xml:space="preserve">5. </w:t>
      </w:r>
      <w:r>
        <w:rPr>
          <w:rFonts w:ascii="Times New Roman" w:hAnsi="Times New Roman"/>
          <w:b/>
          <w:sz w:val="24"/>
        </w:rPr>
        <w:t>Doble rol del equipo:</w:t>
      </w:r>
      <w:r>
        <w:rPr>
          <w:rFonts w:ascii="Times New Roman" w:hAnsi="Times New Roman"/>
          <w:sz w:val="24"/>
        </w:rPr>
        <w:t xml:space="preserve"> Los autores fueron a la vez diseñadores de la arquitectura y docentes a cargo del pilotaje, lo que introduce un potencial sesgo.</w:t>
      </w:r>
    </w:p>
    <w:p>
      <w:pPr>
        <w:spacing w:line="240" w:lineRule="auto" w:after="120" w:before="0"/>
      </w:pPr>
      <w:r>
        <w:rPr>
          <w:rFonts w:ascii="Times New Roman" w:hAnsi="Times New Roman"/>
          <w:sz w:val="24"/>
        </w:rPr>
        <w:t xml:space="preserve">6. </w:t>
      </w:r>
      <w:r>
        <w:rPr>
          <w:rFonts w:ascii="Times New Roman" w:hAnsi="Times New Roman"/>
          <w:b/>
          <w:sz w:val="24"/>
        </w:rPr>
        <w:t>Contexto acotado:</w:t>
      </w:r>
      <w:r>
        <w:rPr>
          <w:rFonts w:ascii="Times New Roman" w:hAnsi="Times New Roman"/>
          <w:sz w:val="24"/>
        </w:rPr>
        <w:t xml:space="preserve"> El pilotaje se realizó en dos asignaturas de una misma institución, lo que restringe la generalización.</w:t>
      </w:r>
    </w:p>
    <w:p>
      <w:pPr>
        <w:pStyle w:val="Heading1"/>
        <w:keepNext/>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y la implementación de una arquitectura sociotécnica para la evaluación continua asistida por agentes de inteligencia artificial en programación universitaria, basada en el Protocolo de Contexto de Modelo (MCP), especificaciones en texto plano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humana.</w:t>
      </w:r>
    </w:p>
    <w:p>
      <w:pPr>
        <w:spacing w:line="240" w:lineRule="auto" w:after="120" w:before="0"/>
      </w:pPr>
      <w:r>
        <w:rPr>
          <w:rFonts w:ascii="Times New Roman" w:hAnsi="Times New Roman"/>
          <w:sz w:val="24"/>
        </w:rPr>
        <w:t xml:space="preserve">3. </w:t>
      </w:r>
      <w:r>
        <w:rPr>
          <w:rFonts w:ascii="Times New Roman" w:hAnsi="Times New Roman"/>
          <w:b/>
          <w:sz w:val="24"/>
        </w:rPr>
        <w:t>Consideraciones de diseño para la adopción:</w:t>
      </w:r>
      <w:r>
        <w:rPr>
          <w:rFonts w:ascii="Times New Roman" w:hAnsi="Times New Roman"/>
          <w:sz w:val="24"/>
        </w:rPr>
        <w:t xml:space="preserve"> La literatura sugiere que la fricción asociada con Git y la consola puede competir con el aprendizaje conceptual, lo que justifica ofrecer interfaces visuales y recursos desacoplados; esta hipótesis requiere evaluación empírica.</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Un estudio empírico de adopción por parte de docentes y estudiantes, con evaluación ética previa, consentimiento informado, libre y previo, y recolección de datos definida a priori.</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w:t>
      </w:r>
    </w:p>
    <w:p>
      <w:pPr>
        <w:spacing w:line="240" w:lineRule="auto" w:after="120" w:before="0"/>
      </w:pPr>
      <w:r>
        <w:rPr>
          <w:rFonts w:ascii="Times New Roman" w:hAnsi="Times New Roman"/>
          <w:sz w:val="24"/>
        </w:rPr>
        <w:t>- La profundización en estudios de concordancia interjueces para cuantificar la consistencia evaluativa alcanzada mediante especificaciones matriciales formales.</w:t>
      </w:r>
    </w:p>
    <w:p>
      <w:pPr>
        <w:pStyle w:val="Heading1"/>
        <w:keepNext/>
        <w:spacing w:before="280" w:after="120"/>
        <w:jc w:val="center"/>
      </w:pPr>
      <w:r>
        <w:rPr>
          <w:rFonts w:ascii="Times New Roman" w:hAnsi="Times New Roman"/>
          <w:b/>
          <w:sz w:val="24"/>
        </w:rPr>
        <w:t>6. DECLARACIONES OBLIGATORIAS</w:t>
      </w:r>
    </w:p>
    <w:p>
      <w:pPr>
        <w:pStyle w:val="Heading2"/>
        <w:keepNext/>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pStyle w:val="Heading2"/>
        <w:keepNext/>
        <w:spacing w:before="200" w:after="80"/>
        <w:jc w:val="left"/>
      </w:pPr>
      <w:r>
        <w:rPr>
          <w:rFonts w:ascii="Times New Roman" w:hAnsi="Times New Roman"/>
          <w:b/>
          <w:sz w:val="24"/>
        </w:rPr>
        <w:t>Declaración sobre uso de IA</w:t>
      </w:r>
    </w:p>
    <w:p>
      <w:pPr>
        <w:spacing w:line="240" w:lineRule="auto" w:after="120" w:before="0"/>
      </w:pPr>
      <w:r>
        <w:rPr>
          <w:rFonts w:ascii="Times New Roman" w:hAnsi="Times New Roman"/>
          <w:sz w:val="24"/>
        </w:rPr>
        <w:t>Durante la preparación de este trabajo, los autores utilizaron el entorno Antigravity IDE (operando con los modelos Claude 3.7 Sonnet y Gemini 2.5 Pro) y el asistente Microsoft Copilot para asistir en la organización preliminar del contenido, la revisión estilística y gramatical del manuscrito en español, la traducción y revisión del resumen al inglés, y el cotejo normativo de directrices editoriales. Las herramientas de inteligencia artificial no fueron utilizadas para generar datos empíricos, resultados observacionales ni referencias bibliográficas. Los autores revisaron y editaron críticamente el contenido asistido, verificaron la integridad de las citas y asumen plena responsabilidad por el contenido final de la publicación.</w:t>
      </w:r>
    </w:p>
    <w:p>
      <w:pPr>
        <w:pStyle w:val="Heading2"/>
        <w:keepNext/>
        <w:spacing w:before="200" w:after="80"/>
        <w:jc w:val="left"/>
      </w:pPr>
      <w:r>
        <w:rPr>
          <w:rFonts w:ascii="Times New Roman" w:hAnsi="Times New Roman"/>
          <w:b/>
          <w:sz w:val="24"/>
        </w:rPr>
        <w:t>Consideraciones éticas</w:t>
      </w:r>
    </w:p>
    <w:p>
      <w:pPr>
        <w:spacing w:line="240" w:lineRule="auto" w:after="120" w:before="0"/>
      </w:pPr>
      <w:r>
        <w:rPr>
          <w:rFonts w:ascii="Times New Roman" w:hAnsi="Times New Roman"/>
          <w:sz w:val="24"/>
        </w:rPr>
        <w:t>Este estudio no involucró participantes humanos ni animales como sujetos de investigación y no presenta datos personales sensibles. La experiencia formativa de transferencia se describe como contexto de diseño de los recursos, sin informar métricas de progresión, notas de campo ni verbalizaciones. Cualquier estudio empírico futuro sobre la adopción de la arquitectura por parte de docentes y estudiantes se realizará con evaluación ética previa y consentimiento informado, libre y previo.</w:t>
      </w:r>
    </w:p>
    <w:p>
      <w:pPr>
        <w:pStyle w:val="Heading1"/>
        <w:keepNext/>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Hattie, J., &amp; Timperley, H. (2007). The power of feedback. </w:t>
      </w:r>
      <w:r>
        <w:rPr>
          <w:rFonts w:ascii="Times New Roman" w:hAnsi="Times New Roman"/>
          <w:i/>
          <w:sz w:val="24"/>
        </w:rPr>
        <w:t>Review of Educational Research, 77</w:t>
      </w:r>
      <w:r>
        <w:rPr>
          <w:rFonts w:ascii="Times New Roman" w:hAnsi="Times New Roman"/>
          <w:sz w:val="24"/>
        </w:rPr>
        <w:t>(1), 81-112. https://doi.org/10.3102/003465430298487</w:t>
      </w:r>
    </w:p>
    <w:p>
      <w:pPr>
        <w:spacing w:line="240" w:lineRule="auto" w:after="120" w:before="0"/>
      </w:pPr>
      <w:r>
        <w:rPr>
          <w:rFonts w:ascii="Times New Roman" w:hAnsi="Times New Roman"/>
          <w:sz w:val="24"/>
        </w:rPr>
        <w:t xml:space="preserve">Jonsson, A., &amp; Svingby, G. (2007). The use of scoring rubrics: Reliability, validity and educational consequences. </w:t>
      </w:r>
      <w:r>
        <w:rPr>
          <w:rFonts w:ascii="Times New Roman" w:hAnsi="Times New Roman"/>
          <w:i/>
          <w:sz w:val="24"/>
        </w:rPr>
        <w:t>Educational Research Review, 2</w:t>
      </w:r>
      <w:r>
        <w:rPr>
          <w:rFonts w:ascii="Times New Roman" w:hAnsi="Times New Roman"/>
          <w:sz w:val="24"/>
        </w:rPr>
        <w:t>(2), 130-144. https://doi.org/10.1016/j.edurev.2007.05.002</w:t>
      </w:r>
    </w:p>
    <w:p>
      <w:pPr>
        <w:spacing w:line="240" w:lineRule="auto" w:after="120" w:before="0"/>
      </w:pPr>
      <w:r>
        <w:rPr>
          <w:rFonts w:ascii="Times New Roman" w:hAnsi="Times New Roman"/>
          <w:sz w:val="24"/>
        </w:rPr>
        <w:t xml:space="preserve">Kirschner, P. A., Sweller, J., &amp; Clark, R. E. (2006). Why minimal guidance during instruction does not work: An analysis of the failure of constructivist, discovery, problem-based, experiential, and inquiry-based teaching. </w:t>
      </w:r>
      <w:r>
        <w:rPr>
          <w:rFonts w:ascii="Times New Roman" w:hAnsi="Times New Roman"/>
          <w:i/>
          <w:sz w:val="24"/>
        </w:rPr>
        <w:t>Educational Psychologist, 41</w:t>
      </w:r>
      <w:r>
        <w:rPr>
          <w:rFonts w:ascii="Times New Roman" w:hAnsi="Times New Roman"/>
          <w:sz w:val="24"/>
        </w:rPr>
        <w:t>(2), 75-86. https://doi.org/10.1207/s15326985ep4102_1</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Recuperado el 13 de octubre de 2026, de https://cheatsheetseries.owasp.org/cheatsheets/MCP_Security_Cheat_Sheet.html</w:t>
      </w:r>
    </w:p>
    <w:p>
      <w:pPr>
        <w:spacing w:line="240" w:lineRule="auto" w:after="120" w:before="0"/>
      </w:pPr>
      <w:r>
        <w:rPr>
          <w:rFonts w:ascii="Times New Roman" w:hAnsi="Times New Roman"/>
          <w:sz w:val="24"/>
        </w:rPr>
        <w:t xml:space="preserve">Perez De Rosso, S., &amp; Jackson, D. (2013). What's wrong with Git? A conceptual design analysis. En </w:t>
      </w:r>
      <w:r>
        <w:rPr>
          <w:rFonts w:ascii="Times New Roman" w:hAnsi="Times New Roman"/>
          <w:i/>
          <w:sz w:val="24"/>
        </w:rPr>
        <w:t>Proceedings of the 2013 ACM International Symposium on New Ideas, New Paradigms, and Reflections on Programming &amp; Software</w:t>
      </w:r>
      <w:r>
        <w:rPr>
          <w:rFonts w:ascii="Times New Roman" w:hAnsi="Times New Roman"/>
          <w:sz w:val="24"/>
        </w:rPr>
        <w:t xml:space="preserve"> (Onward! 2013) (pp. 37-52). Association for Computing Machinery. https://doi.org/10.1145/2509578.2509584</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Sweller, J. (1988). Cognitive load during problem solving: Effects on learning. </w:t>
      </w:r>
      <w:r>
        <w:rPr>
          <w:rFonts w:ascii="Times New Roman" w:hAnsi="Times New Roman"/>
          <w:i/>
          <w:sz w:val="24"/>
        </w:rPr>
        <w:t>Cognitive Science, 12</w:t>
      </w:r>
      <w:r>
        <w:rPr>
          <w:rFonts w:ascii="Times New Roman" w:hAnsi="Times New Roman"/>
          <w:sz w:val="24"/>
        </w:rPr>
        <w:t>(2), 257-285. https://doi.org/10.1207/s15516709cog1202_4</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Técnico - DIFUSIONES</dc:title>
  <dc:subject/>
  <dc:creator/>
  <cp:keywords/>
  <dc:description/>
  <cp:lastModifiedBy/>
  <cp:revision>1</cp:revision>
  <dcterms:created xsi:type="dcterms:W3CDTF">2013-12-23T23:15:00Z</dcterms:created>
  <dcterms:modified xsi:type="dcterms:W3CDTF">2013-12-23T23:15:00Z</dcterms:modified>
  <cp:category/>
</cp:coreProperties>
</file>