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4"/>
        </w:rPr>
        <w:t>INTEGRACIÓN DE AGENTES DE INTELIGENCIA ARTIFICIAL Y PROTOCOLO MCP EN LA EVALUACIÓN CONTINUA UNIVERSITARIA: ARQUITECTURA TÉCNICA Y EXPERIENCIA DE TRANSFERENCIA DOCENTE</w:t>
      </w:r>
    </w:p>
    <w:p>
      <w:pPr>
        <w:spacing w:before="280" w:after="160"/>
        <w:jc w:val="center"/>
      </w:pPr>
      <w:r>
        <w:rPr>
          <w:rFonts w:ascii="Times New Roman" w:hAnsi="Times New Roman"/>
          <w:b/>
          <w:sz w:val="24"/>
        </w:rPr>
        <w:t>INTEGRATION OF ARTIFICIAL INTELLIGENCE AGENTS AND THE MODEL CONTEXT PROTOCOL IN CONTINUOUS UNIVERSITY ASSESSMENT: TECHNICAL ARCHITECTURE AND A FACULTY PROFESSIONAL DEVELOPMENT EXPERIENCE</w:t>
      </w:r>
    </w:p>
    <w:p>
      <w:pPr>
        <w:pStyle w:val="Heading2"/>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artículo técnico presenta el diseño, implementación y evaluación exploratoria de una arquitectura sociotécnica basada en el Protocolo de Contexto de Modelo (</w:t>
      </w:r>
      <w:r>
        <w:rPr>
          <w:rFonts w:ascii="Times New Roman" w:hAnsi="Times New Roman"/>
          <w:i/>
          <w:sz w:val="24"/>
        </w:rPr>
        <w:t>Model Context Protocol</w:t>
      </w:r>
      <w:r>
        <w:rPr>
          <w:rFonts w:ascii="Times New Roman" w:hAnsi="Times New Roman"/>
          <w:sz w:val="24"/>
        </w:rPr>
        <w:t>, MCP) y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analizando las condiciones de transferibilidad técnica en una experiencia de capacitación docente. Metodológicamente, se adoptó un enfoque de Investigación Basada en el Diseño (DBR) estructurado en tres fases: diseño de artefactos de gobernanza contextual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especificaciones formales de habilidades), pilotaje curricular en asignaturas universitarias de programación y ejecución de un taller intensivo de transferencia de diez horas reloj. La cohorte de validación estuvo constituida por 70 participantes sobre 80 personas inscriptas (tasa de asistencia del 87,5 %), integrada por docentes de ingeniería en informática y estudiantes avanzados y graduados de profesorado y licenciatura en informática educativa. La recolección de datos combinó telemetría del repositorio plantilla, registros de ejecución de integración continua en GitHub Actions y notas de campo estructuradas. Los resultados mostraron que 52 de los 70 asistentes (74,3 %) resolvieron el cuestionario web desacoplado; no obstante, únicamente 1 de los 70 participantes completó de forma autónoma el flujo de integración continua durante el horario sincrónico del taller. Este hallazgo evidencia una pronunciada brecha instrumental (</w:t>
      </w:r>
      <w:r>
        <w:rPr>
          <w:rFonts w:ascii="Times New Roman" w:hAnsi="Times New Roman"/>
          <w:i/>
          <w:sz w:val="24"/>
        </w:rPr>
        <w:t>tooling gap</w:t>
      </w:r>
      <w:r>
        <w:rPr>
          <w:rFonts w:ascii="Times New Roman" w:hAnsi="Times New Roman"/>
          <w:sz w:val="24"/>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pStyle w:val="Heading2"/>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traditional assessment practices in university computer science and programming education. This technical paper presents the design, implementation, and exploratory evaluation of a sociotechnical architecture based on the open standard Model Context Protocol (MCP) and the active Human-in-the-Loop (HITL) principle to assist continuous formative assessment, analyzing its technical transferability conditions within a teacher professional development context. Methodologically, the research adopted a Design-Based Research (DBR) framework structured across three sequential phases: the design of plain-text contextual governance artifacts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analytical rubrics, and formal teaching skill specifications), curricular piloting in university programming courses, and the delivery of an intensive ten-hour teacher training workshop. The validation cohort comprised 70 attendees out of 80 registered individuals (an 87.5% attendance rate), consisting of computer engineering faculty along with advanced pre-service teachers and recent graduates from educational informatics degree programs. Data collection combined template repository telemetry metrics, continuous integration execution logs on GitHub Actions, and structured qualitative field observation notes. Findings showed that 52 of the 70 attendees (74.3%) completed the decoupled web questionnaire; however, only 1 of the 70 participants autonomously completed the continuous integration pipeline during the synchronous workshop schedule.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pStyle w:val="Heading1"/>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artículo técnico tiene como objetivo general: </w:t>
      </w:r>
      <w:r>
        <w:rPr>
          <w:rFonts w:ascii="Times New Roman" w:hAnsi="Times New Roman"/>
          <w:b/>
          <w:sz w:val="24"/>
        </w:rPr>
        <w:t>diseñar, implementar y evaluar de manera exploratoria la viabilidad técnica de una arquitectura sociotécnica basada en MCP y supervisión docente activa para asistir la evaluación formativa continua en asignaturas universitarias de programación, así como evaluar las condiciones de viabilidad instrumental y adopción técnica de dicha infraestructura en una experiencia piloto de formación docente</w:t>
      </w:r>
      <w:r>
        <w:rPr>
          <w:rFonts w:ascii="Times New Roman" w:hAnsi="Times New Roman"/>
          <w:sz w:val="24"/>
        </w:rPr>
        <w:t>.</w:t>
      </w:r>
    </w:p>
    <w:p>
      <w:pPr>
        <w:spacing w:line="240" w:lineRule="auto" w:after="120" w:before="0"/>
      </w:pPr>
      <w:r>
        <w:rPr>
          <w:rFonts w:ascii="Times New Roman" w:hAnsi="Times New Roman"/>
          <w:sz w:val="24"/>
        </w:rPr>
        <w:t>Para orientar la investigación, se definieron tres preguntas de investigación:</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nivel de adopción instrumental y técnica alcanzan los participantes al interactuar con una plantilla basada en integración continua y agentes durante un taller de formación docente?</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barreras técnicas y pedagógicas emergen durante la interacción de los docentes con dicha infraestructura y qué andamiajes resultan pertinentes para mitigarlas?</w:t>
      </w:r>
    </w:p>
    <w:p>
      <w:pPr>
        <w:pStyle w:val="Heading1"/>
        <w:spacing w:before="280" w:after="120"/>
        <w:jc w:val="center"/>
      </w:pPr>
      <w:r>
        <w:rPr>
          <w:rFonts w:ascii="Times New Roman" w:hAnsi="Times New Roman"/>
          <w:b/>
          <w:sz w:val="24"/>
        </w:rPr>
        <w:t>2. MÉTODOS</w:t>
      </w:r>
    </w:p>
    <w:p>
      <w:pPr>
        <w:pStyle w:val="Heading2"/>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estudio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exploratorio.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dificultades identificadas durante el pilotaje curricular permitieron ajustar las restricciones de </w:t>
      </w:r>
      <w:r>
        <w:rPr>
          <w:rFonts w:ascii="Consolas" w:hAnsi="Consolas"/>
          <w:sz w:val="21"/>
        </w:rPr>
        <w:t>AGENTS.md</w:t>
      </w:r>
      <w:r>
        <w:rPr>
          <w:rFonts w:ascii="Times New Roman" w:hAnsi="Times New Roman"/>
          <w:sz w:val="24"/>
        </w:rPr>
        <w:t>, reorganizar las rúbricas y simplificar las plantillas utilizadas posteriormente en el taller. La experiencia de transferencia constituyó, a su vez, una nueva instancia de evaluación del diseño, cuyos resultados fundamentan el desarrollo futuro de interfaces gráficas y rutas de adopción diferenciadas.</w:t>
      </w:r>
    </w:p>
    <w:p>
      <w:pPr>
        <w:spacing w:line="240" w:lineRule="auto" w:after="120" w:before="0"/>
      </w:pPr>
      <w:r>
        <w:rPr>
          <w:rFonts w:ascii="Times New Roman" w:hAnsi="Times New Roman"/>
          <w:sz w:val="24"/>
        </w:rPr>
        <w:t>El alcance de la evaluación se circunscribe a la viabilidad técnica de la implementación, la observabilidad del flujo y las condiciones de transferencia instrumental. No se evaluaron la calidad pedagógica de las devoluciones generadas, su concordancia con evaluadores humanos, la mejora del aprendizaje, el ahorro efectivo de tiempo docente ni la reducción mensurable de sesgos.</w:t>
      </w:r>
    </w:p>
    <w:p>
      <w:pPr>
        <w:pStyle w:val="Heading2"/>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(entendido como un análisis técnico preliminar de una entrega, sin valor evaluativo definitivo hasta su revisión docente)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Transferencia formativa y estudio de adopción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w:t>
      </w:r>
    </w:p>
    <w:p>
      <w:pPr>
        <w:pStyle w:val="Heading2"/>
        <w:spacing w:before="200" w:after="80"/>
        <w:jc w:val="left"/>
      </w:pPr>
      <w:r>
        <w:rPr>
          <w:rFonts w:ascii="Times New Roman" w:hAnsi="Times New Roman"/>
          <w:b/>
          <w:sz w:val="24"/>
        </w:rPr>
        <w:t>2.3. Cohorte de prueba y participantes del taller piloto</w:t>
      </w:r>
    </w:p>
    <w:p>
      <w:pPr>
        <w:spacing w:line="240" w:lineRule="auto" w:after="120" w:before="0"/>
      </w:pPr>
      <w:r>
        <w:rPr>
          <w:rFonts w:ascii="Times New Roman" w:hAnsi="Times New Roman"/>
          <w:sz w:val="24"/>
        </w:rPr>
        <w:t>La convocatoria al taller de capacitación fue abierta, institucional y de carácter voluntario. Para la prueba de campo de la arquitectura se conformó una cohorte no probabilística y autoseleccionada de participantes voluntarios a partir de 80 personas inscriptas, de las cuales 70 asistieron activamente a las sesiones de laboratorio técnico presenciales/sincrónicas (tasa de asistencia del 87,5 %).</w:t>
      </w:r>
    </w:p>
    <w:p>
      <w:pPr>
        <w:spacing w:line="240" w:lineRule="auto" w:after="120" w:before="0"/>
      </w:pPr>
      <w:r>
        <w:rPr>
          <w:rFonts w:ascii="Times New Roman" w:hAnsi="Times New Roman"/>
          <w:sz w:val="24"/>
        </w:rPr>
        <w:t>La cohorte estuvo integrada por dos grupos diferenciados:</w:t>
      </w:r>
    </w:p>
    <w:p>
      <w:pPr>
        <w:spacing w:line="240" w:lineRule="auto" w:after="120" w:before="0"/>
      </w:pPr>
      <w:r>
        <w:rPr>
          <w:rFonts w:ascii="Times New Roman" w:hAnsi="Times New Roman"/>
          <w:sz w:val="24"/>
        </w:rPr>
        <w:t xml:space="preserve">- </w:t>
      </w:r>
      <w:r>
        <w:rPr>
          <w:rFonts w:ascii="Times New Roman" w:hAnsi="Times New Roman"/>
          <w:b/>
          <w:sz w:val="24"/>
        </w:rPr>
        <w:t>Grupo 1 (Docentes universitarios en ejercicio):</w:t>
      </w:r>
      <w:r>
        <w:rPr>
          <w:rFonts w:ascii="Times New Roman" w:hAnsi="Times New Roman"/>
          <w:sz w:val="24"/>
        </w:rPr>
        <w:t xml:space="preserve"> Profesores y auxiliares de cátedras del área de informática y computación pertenecientes a una universidad de gestión privada de la región (n = 28; 40,0 % de los asistentes).</w:t>
      </w:r>
    </w:p>
    <w:p>
      <w:pPr>
        <w:spacing w:line="240" w:lineRule="auto" w:after="120" w:before="0"/>
      </w:pPr>
      <w:r>
        <w:rPr>
          <w:rFonts w:ascii="Times New Roman" w:hAnsi="Times New Roman"/>
          <w:sz w:val="24"/>
        </w:rPr>
        <w:t xml:space="preserve">- </w:t>
      </w:r>
      <w:r>
        <w:rPr>
          <w:rFonts w:ascii="Times New Roman" w:hAnsi="Times New Roman"/>
          <w:b/>
          <w:sz w:val="24"/>
        </w:rPr>
        <w:t>Grupo 2 (Formadores en informática en etapa de graduación):</w:t>
      </w:r>
      <w:r>
        <w:rPr>
          <w:rFonts w:ascii="Times New Roman" w:hAnsi="Times New Roman"/>
          <w:sz w:val="24"/>
        </w:rPr>
        <w:t xml:space="preserve"> Estudiantes avanzados de los dos últimos años y graduados recientes de las carreras de Profesorado Universitario en Informática y Licenciatura en Informática Educativa pertenecientes a una universidad nacional pública de la misma región geográfica (n = 42; 60,0 % de los asistentes).</w:t>
      </w:r>
    </w:p>
    <w:p>
      <w:pPr>
        <w:spacing w:line="240" w:lineRule="auto" w:after="120" w:before="0"/>
      </w:pPr>
      <w:r>
        <w:rPr>
          <w:rFonts w:ascii="Times New Roman" w:hAnsi="Times New Roman"/>
          <w:sz w:val="24"/>
        </w:rPr>
        <w:t>No se aplicaron pruebas diagnósticas previas estandarizadas de dominio en herramientas de control de versiones (Git/CLI) o interfaces de agentes, registrándose durante las sesiones una marcada heterogeneidad en las competencias instrumentales de partida.</w:t>
      </w:r>
    </w:p>
    <w:p>
      <w:pPr>
        <w:pStyle w:val="Heading2"/>
        <w:spacing w:before="200" w:after="80"/>
        <w:jc w:val="left"/>
      </w:pPr>
      <w:r>
        <w:rPr>
          <w:rFonts w:ascii="Times New Roman" w:hAnsi="Times New Roman"/>
          <w:b/>
          <w:sz w:val="24"/>
        </w:rPr>
        <w:t>2.4.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title="Figura 1. Arquitectura sociotécnica MCP y supervisión docente activa" descr="Diagrama de la arquitectura sociotécnica de evaluación continua asistida por agentes, organizada en tres capas: gobernanza contextual, interoperabilidad mediante MCP y supervisión docente."/>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Consolas" w:hAnsi="Consolas"/>
          <w:sz w:val="21"/>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Consolas" w:hAnsi="Consolas"/>
          <w:sz w:val="21"/>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Consolas" w:hAnsi="Consolas"/>
          <w:sz w:val="21"/>
        </w:rPr>
        <w:t>&lt;contexto&gt;</w:t>
      </w:r>
      <w:r>
        <w:rPr>
          <w:rFonts w:ascii="Times New Roman" w:hAnsi="Times New Roman"/>
          <w:sz w:val="24"/>
        </w:rPr>
        <w:t xml:space="preserve">, </w:t>
      </w:r>
      <w:r>
        <w:rPr>
          <w:rFonts w:ascii="Consolas" w:hAnsi="Consolas"/>
          <w:sz w:val="21"/>
        </w:rPr>
        <w:t>&lt;restricciones&gt;</w:t>
      </w:r>
      <w:r>
        <w:rPr>
          <w:rFonts w:ascii="Times New Roman" w:hAnsi="Times New Roman"/>
          <w:sz w:val="24"/>
        </w:rPr>
        <w:t xml:space="preserve">, </w:t>
      </w:r>
      <w:r>
        <w:rPr>
          <w:rFonts w:ascii="Consolas" w:hAnsi="Consolas"/>
          <w:sz w:val="21"/>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requirió restringir la ejecución a rutas locales aisladas, aplicar privilegios mínimos y establecer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Consolas" w:hAnsi="Consolas"/>
          <w:sz w:val="21"/>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pStyle w:val="Heading2"/>
        <w:spacing w:before="200" w:after="80"/>
        <w:jc w:val="left"/>
      </w:pPr>
      <w:r>
        <w:rPr>
          <w:rFonts w:ascii="Times New Roman" w:hAnsi="Times New Roman"/>
          <w:b/>
          <w:sz w:val="24"/>
        </w:rPr>
        <w:t>2.5.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Consolas" w:hAnsi="Consolas"/>
          <w:sz w:val="21"/>
        </w:rPr>
        <w:t>rubrica.md</w:t>
      </w:r>
      <w:r>
        <w:rPr>
          <w:rFonts w:ascii="Times New Roman" w:hAnsi="Times New Roman"/>
          <w:sz w:val="24"/>
        </w:rPr>
        <w:t>, 20 puntos) y de la habilidad formal de evaluación (</w:t>
      </w:r>
      <w:r>
        <w:rPr>
          <w:rFonts w:ascii="Consolas" w:hAnsi="Consolas"/>
          <w:sz w:val="21"/>
        </w:rPr>
        <w:t>skill_evaluador.md</w:t>
      </w:r>
      <w:r>
        <w:rPr>
          <w:rFonts w:ascii="Times New Roman" w:hAnsi="Times New Roman"/>
          <w:sz w:val="24"/>
        </w:rPr>
        <w:t>, 20 puntos) utilizando plantillas predefinidas del toolkit docente, finalizando con la verificación de la suite de pruebas local (</w:t>
      </w:r>
      <w:r>
        <w:rPr>
          <w:rFonts w:ascii="Consolas" w:hAnsi="Consolas"/>
          <w:sz w:val="21"/>
        </w:rPr>
        <w:t>python autograder_taller.py</w:t>
      </w:r>
      <w:r>
        <w:rPr>
          <w:rFonts w:ascii="Times New Roman" w:hAnsi="Times New Roman"/>
          <w:sz w:val="24"/>
        </w:rPr>
        <w:t>) y la sincronización con el repositorio remoto.</w:t>
      </w:r>
    </w:p>
    <w:p>
      <w:pPr>
        <w:pStyle w:val="Heading2"/>
        <w:spacing w:before="200" w:after="80"/>
        <w:jc w:val="left"/>
      </w:pPr>
      <w:r>
        <w:rPr>
          <w:rFonts w:ascii="Times New Roman" w:hAnsi="Times New Roman"/>
          <w:b/>
          <w:sz w:val="24"/>
        </w:rPr>
        <w:t>2.6. Fuentes y análisis de datos</w:t>
      </w:r>
    </w:p>
    <w:p>
      <w:pPr>
        <w:spacing w:line="240" w:lineRule="auto" w:after="120" w:before="0"/>
      </w:pPr>
      <w:r>
        <w:rPr>
          <w:rFonts w:ascii="Times New Roman" w:hAnsi="Times New Roman"/>
          <w:sz w:val="24"/>
        </w:rPr>
        <w:t>Para responder a las preguntas de investigación se triangularon tres fuentes de datos:</w:t>
      </w:r>
    </w:p>
    <w:p>
      <w:pPr>
        <w:spacing w:line="240" w:lineRule="auto" w:after="120" w:before="0"/>
      </w:pPr>
      <w:r>
        <w:rPr>
          <w:rFonts w:ascii="Times New Roman" w:hAnsi="Times New Roman"/>
          <w:sz w:val="24"/>
        </w:rPr>
        <w:t xml:space="preserve">1. </w:t>
      </w:r>
      <w:r>
        <w:rPr>
          <w:rFonts w:ascii="Times New Roman" w:hAnsi="Times New Roman"/>
          <w:b/>
          <w:sz w:val="24"/>
        </w:rPr>
        <w:t>Registros de integración continua y actividad en repositorios:</w:t>
      </w:r>
      <w:r>
        <w:rPr>
          <w:rFonts w:ascii="Times New Roman" w:hAnsi="Times New Roman"/>
          <w:sz w:val="24"/>
        </w:rPr>
        <w:t xml:space="preserve"> Seguimiento de ejecuciones en GitHub Actions y verificación en aula del acceso, clonación y confirmaciones de cambios (</w:t>
      </w:r>
      <w:r>
        <w:rPr>
          <w:rFonts w:ascii="Times New Roman" w:hAnsi="Times New Roman"/>
          <w:i/>
          <w:sz w:val="24"/>
        </w:rPr>
        <w:t>commits</w:t>
      </w:r>
      <w:r>
        <w:rPr>
          <w:rFonts w:ascii="Times New Roman" w:hAnsi="Times New Roman"/>
          <w:sz w:val="24"/>
        </w:rPr>
        <w:t>) generados durante las sesiones sincrónicas.</w:t>
      </w:r>
    </w:p>
    <w:p>
      <w:pPr>
        <w:spacing w:line="240" w:lineRule="auto" w:after="120" w:before="0"/>
      </w:pPr>
      <w:r>
        <w:rPr>
          <w:rFonts w:ascii="Times New Roman" w:hAnsi="Times New Roman"/>
          <w:sz w:val="24"/>
        </w:rPr>
        <w:t xml:space="preserve">2. </w:t>
      </w:r>
      <w:r>
        <w:rPr>
          <w:rFonts w:ascii="Times New Roman" w:hAnsi="Times New Roman"/>
          <w:b/>
          <w:sz w:val="24"/>
        </w:rPr>
        <w:t>Notas de campo estructuradas:</w:t>
      </w:r>
      <w:r>
        <w:rPr>
          <w:rFonts w:ascii="Times New Roman" w:hAnsi="Times New Roman"/>
          <w:sz w:val="24"/>
        </w:rPr>
        <w:t xml:space="preserve"> Registros sistemáticos tomados por el equipo capacitador durante el desarrollo del taller, focalizados en los momentos de bloqueo procedimental, consultas reiteradas y verbalizaciones de los asistentes.</w:t>
      </w:r>
    </w:p>
    <w:p>
      <w:pPr>
        <w:spacing w:line="240" w:lineRule="auto" w:after="120" w:before="0"/>
      </w:pPr>
      <w:r>
        <w:rPr>
          <w:rFonts w:ascii="Times New Roman" w:hAnsi="Times New Roman"/>
          <w:sz w:val="24"/>
        </w:rPr>
        <w:t xml:space="preserve">3. </w:t>
      </w:r>
      <w:r>
        <w:rPr>
          <w:rFonts w:ascii="Times New Roman" w:hAnsi="Times New Roman"/>
          <w:b/>
          <w:sz w:val="24"/>
        </w:rPr>
        <w:t>Registro de consultas e incidencias técnicas:</w:t>
      </w:r>
      <w:r>
        <w:rPr>
          <w:rFonts w:ascii="Times New Roman" w:hAnsi="Times New Roman"/>
          <w:sz w:val="24"/>
        </w:rPr>
        <w:t xml:space="preserve"> Documentación de dudas formuladas durante las instancias prácticas de laboratorio.</w:t>
      </w:r>
    </w:p>
    <w:p>
      <w:pPr>
        <w:spacing w:line="240" w:lineRule="auto" w:after="120" w:before="0"/>
      </w:pPr>
      <w:r>
        <w:rPr>
          <w:rFonts w:ascii="Times New Roman" w:hAnsi="Times New Roman"/>
          <w:sz w:val="24"/>
        </w:rPr>
        <w:t>Para el análisis cuantitativo, la unidad de análisis fue cada participante asistente al taller. Para el análisis cualitativo, la unidad de registro estuvo constituida por cada incidencia, consulta o episodio de bloqueo consignado en las notas de campo. Estas frecuencias corresponden a unidades de registro cualitativo y no a participantes únicos, por lo que una misma persona pudo generar más de una incidencia u observación durante las sesiones.</w:t>
      </w:r>
    </w:p>
    <w:p>
      <w:pPr>
        <w:spacing w:line="240" w:lineRule="auto" w:after="120" w:before="0"/>
      </w:pPr>
      <w:r>
        <w:rPr>
          <w:rFonts w:ascii="Times New Roman" w:hAnsi="Times New Roman"/>
          <w:sz w:val="24"/>
        </w:rPr>
        <w:t>La identificación de avances individuales durante el taller se gestionó mediante códigos alfanuméricos temporales en hojas de cotejo observacional en el aula, destruidas tras consolidar las frecuencias agregadas. Para el análisis se registraron exclusivamente frecuencias agregadas de acceso, confirmación y ejecución en GitHub Actions. Aunque la plataforma de control de versiones mostraba identificadores técnicos propios de las cuentas de usuario durante la interacción operativa sincrónica, dichos identificadores no fueron incorporados a la matriz de análisis ni utilizados para asociar resultados o incidencias con participantes individuales.</w:t>
      </w:r>
    </w:p>
    <w:p>
      <w:pPr>
        <w:spacing w:line="240" w:lineRule="auto" w:after="120" w:before="0"/>
      </w:pPr>
      <w:r>
        <w:rPr>
          <w:rFonts w:ascii="Times New Roman" w:hAnsi="Times New Roman"/>
          <w:sz w:val="24"/>
        </w:rPr>
        <w:t>El análisis de los registros cuantitativos fue de carácter descriptivo (frecuencias absolutas y porcentajes). Las notas de campo y las consultas se sometieron a un análisis temático cualitativo (Braun &amp; Clarke, 2006) mediante codificación inductiva abierta, realizada de manera independiente por dos integrantes del equipo investigador sobre el conjunto completo de notas de campo e incidencias registradas durante ambas jornadas; las discrepancias iniciales de codificación se resolvieron por consenso en sesiones de revisión conjunta hasta consolidar una matriz unificada organizada en los tres patrones temáticos informados. Las notas de campo fueron registradas durante las sesiones por integrantes del equipo capacitador; dado el doble rol de investigación y capacitación, la codificación no fue ciega a la situación de aula. Las categorías emergieron durante la codificación y no fueron definidas a priori. Para el conteo se segmentó el registro por episodio: se computó como una incidencia cada bloqueo, consulta o verbalización con unidad temática propia en un momento determinado de la sesión, de modo que un mismo episodio sostenido en el tiempo no se contabilizó más de una vez.</w:t>
      </w:r>
    </w:p>
    <w:p>
      <w:pPr>
        <w:pStyle w:val="Heading2"/>
        <w:spacing w:before="200" w:after="80"/>
        <w:jc w:val="left"/>
      </w:pPr>
      <w:r>
        <w:rPr>
          <w:rFonts w:ascii="Times New Roman" w:hAnsi="Times New Roman"/>
          <w:b/>
          <w:sz w:val="24"/>
        </w:rPr>
        <w:t>2.7. Resguardo ético y tratamiento de telemetría técnica</w:t>
      </w:r>
    </w:p>
    <w:p>
      <w:pPr>
        <w:spacing w:line="240" w:lineRule="auto" w:after="120" w:before="0"/>
      </w:pPr>
      <w:r>
        <w:rPr>
          <w:rFonts w:ascii="Times New Roman" w:hAnsi="Times New Roman"/>
          <w:sz w:val="24"/>
        </w:rPr>
        <w:t>Si bien el propósito central fue evaluar técnicamente la observabilidad y la usabilidad de la arquitectura, el estudio involucró participantes humanos (n = 70) en un taller formativo voluntario, con seguimiento de avances individuales mediante códigos alfanuméricos temporales, observación de conductas y notas de campo. La recolección de datos se limitó a métricas técnicas de ejecución y notas cualitativas estructuradas. Al inicio de los encuentros, se informó oralmente a los asistentes sobre el propósito formativo y analítico de la experiencia, el carácter enteramente voluntario de su intervención y el tratamiento agregado de los registros técnicos generados; no se suscribieron formularios individuales de consentimiento informado ni se recolectaron datos personales sensibles, ni se derivaron consecuencias académicas, laborales ni evaluativas para los participantes. La actividad no contó con evaluación previa ni con una certificación formal de exención emitida por un comité de ética institucional. Esta circunstancia constituye una limitación ética y procedimental del diseño. La determinación escrita de la autoridad institucional competente sobre el encuadre del tratamiento y la difusión de los registros agregados obtenidos será incorporada a esta declaración una vez emitida; hasta entonces, los resultados que involucran participantes humanos deben interpretarse con esta salvedad.</w:t>
      </w:r>
    </w:p>
    <w:p>
      <w:pPr>
        <w:pStyle w:val="Heading1"/>
        <w:spacing w:before="280" w:after="120"/>
        <w:jc w:val="center"/>
      </w:pPr>
      <w:r>
        <w:rPr>
          <w:rFonts w:ascii="Times New Roman" w:hAnsi="Times New Roman"/>
          <w:b/>
          <w:sz w:val="24"/>
        </w:rPr>
        <w:t>3. RESULTADOS</w:t>
      </w:r>
    </w:p>
    <w:p>
      <w:pPr>
        <w:pStyle w:val="Heading2"/>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Consolas" w:hAnsi="Consolas"/>
          <w:sz w:val="21"/>
        </w:rPr>
        <w:t>rubrica.md</w:t>
      </w:r>
      <w:r>
        <w:rPr>
          <w:rFonts w:ascii="Times New Roman" w:hAnsi="Times New Roman"/>
          <w:sz w:val="24"/>
        </w:rPr>
        <w:t xml:space="preserve"> y generando borradores de devolución que citaban números de línea concretos. Durante el pilotaje se observó que los prediagnósticos generados bajo habilidades estructuradas tendían a conservar una organización común compuesta por: (a) identificación de fortalezas observadas, (b) señalamiento de inconsistencias algorítmicas con cita textual de código y (c) formulación de preguntas orientadoras para la corrección autónoma. Esta observación procede del pilotaje exploratorio y debe leerse como evidencia descriptiva: no se acompañó de un recuento sistemático de entregas, prediagnósticos generados ni revisiones docentes.</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pStyle w:val="Heading2"/>
        <w:spacing w:before="200" w:after="80"/>
        <w:jc w:val="left"/>
      </w:pPr>
      <w:r>
        <w:rPr>
          <w:rFonts w:ascii="Times New Roman" w:hAnsi="Times New Roman"/>
          <w:b/>
          <w:sz w:val="24"/>
        </w:rPr>
        <w:t>3.2. Participación y adopción instrumental durante el taller (PI2)</w:t>
      </w:r>
    </w:p>
    <w:p>
      <w:pPr>
        <w:spacing w:line="240" w:lineRule="auto" w:after="120" w:before="0"/>
      </w:pPr>
      <w:r>
        <w:rPr>
          <w:rFonts w:ascii="Times New Roman" w:hAnsi="Times New Roman"/>
          <w:sz w:val="24"/>
        </w:rPr>
        <w:t>La convocatoria registró 80 postulantes y 70 asistentes efectivos durante las dos jornadas (tasa de asistencia del 87,5 %). Sin embargo, la interacción con la infraestructura técnica del repositorio plantilla reveló una dinámica disímil en función de las herramientas empleadas.</w:t>
      </w:r>
    </w:p>
    <w:p>
      <w:pPr>
        <w:spacing w:line="240" w:lineRule="auto" w:after="120" w:before="0"/>
      </w:pPr>
      <w:r>
        <w:rPr>
          <w:rFonts w:ascii="Times New Roman" w:hAnsi="Times New Roman"/>
          <w:sz w:val="24"/>
        </w:rPr>
        <w:t>La Tabla 1 resume los niveles de progresión observados entre los participantes durante el tiempo sincrónico de las sesiones de laboratorio.</w:t>
      </w:r>
    </w:p>
    <w:p>
      <w:pPr>
        <w:spacing w:line="240" w:lineRule="auto" w:before="240" w:after="40"/>
      </w:pPr>
      <w:r>
        <w:rPr>
          <w:rFonts w:ascii="Times New Roman" w:hAnsi="Times New Roman"/>
          <w:b/>
          <w:sz w:val="24"/>
        </w:rPr>
        <w:t>Tabla 1</w:t>
      </w:r>
    </w:p>
    <w:p>
      <w:pPr>
        <w:spacing w:line="240" w:lineRule="auto" w:before="0" w:after="120"/>
      </w:pPr>
      <w:r>
        <w:rPr>
          <w:rFonts w:ascii="Times New Roman" w:hAnsi="Times New Roman"/>
          <w:i/>
          <w:sz w:val="24"/>
        </w:rPr>
        <w:t>Participación de los asistentes en las actividades técnicas del taller (N = 70)</w:t>
      </w:r>
    </w:p>
    <w:tbl>
      <w:tblPr>
        <w:tblW w:type="auto" w:w="0"/>
        <w:jc w:val="center"/>
        <w:tblLook w:firstColumn="1" w:firstRow="1" w:lastColumn="0" w:lastRow="0" w:noHBand="0" w:noVBand="1" w:val="04A0"/>
      </w:tblPr>
      <w:tblGrid>
        <w:gridCol w:w="2835"/>
        <w:gridCol w:w="2835"/>
        <w:gridCol w:w="2835"/>
      </w:tblGrid>
      <w:tr>
        <w:trPr>
          <w:cantSplit/>
          <w:tblHeader/>
        </w:trPr>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left"/>
            </w:pPr>
            <w:r>
              <w:rPr>
                <w:b/>
              </w:rPr>
            </w:r>
            <w:r>
              <w:rPr>
                <w:rFonts w:ascii="Times New Roman" w:hAnsi="Times New Roman"/>
                <w:b/>
                <w:sz w:val="20"/>
              </w:rPr>
              <w:t>Actividad o logro observado</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Frecuencia (n)</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Porcentaje (%)</w:t>
            </w:r>
          </w:p>
        </w:tc>
      </w:tr>
      <w:tr>
        <w:trPr>
          <w:cantSplit/>
        </w:trP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Asistentes presentes en el taller</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70</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100,0 %</w:t>
            </w:r>
          </w:p>
        </w:tc>
      </w:tr>
      <w:tr>
        <w:trPr>
          <w:cantSplit/>
        </w:trP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Acceso y clonación del repositorio plantilla</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41</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58,6 %</w:t>
            </w:r>
          </w:p>
        </w:tc>
      </w:tr>
      <w:tr>
        <w:trPr>
          <w:cantSplit/>
        </w:trP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Resolución del cuestionario web interactivo (</w:t>
            </w:r>
            <w:r>
              <w:rPr>
                <w:rFonts w:ascii="Consolas" w:hAnsi="Consolas"/>
                <w:sz w:val="17"/>
              </w:rPr>
              <w:t>index.html</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52</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74,3 %</w:t>
            </w:r>
          </w:p>
        </w:tc>
      </w:tr>
      <w:tr>
        <w:trPr>
          <w:cantSplit/>
        </w:trP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Ejecución local del evaluador (</w:t>
            </w:r>
            <w:r>
              <w:rPr>
                <w:rFonts w:ascii="Consolas" w:hAnsi="Consolas"/>
                <w:sz w:val="17"/>
              </w:rPr>
              <w:t>autograder_taller.py</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19</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27,1 %</w:t>
            </w:r>
          </w:p>
        </w:tc>
      </w:tr>
      <w:tr>
        <w:trPr>
          <w:cantSplit/>
        </w:trP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 xml:space="preserve">Realización de al menos un </w:t>
            </w:r>
            <w:r>
              <w:rPr>
                <w:rFonts w:ascii="Times New Roman" w:hAnsi="Times New Roman"/>
                <w:i/>
                <w:sz w:val="20"/>
              </w:rPr>
              <w:t>commit</w:t>
            </w:r>
            <w:r>
              <w:rPr>
                <w:rFonts w:ascii="Times New Roman" w:hAnsi="Times New Roman"/>
                <w:sz w:val="20"/>
              </w:rPr>
              <w:t xml:space="preserve"> local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14</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20,0 %</w:t>
            </w:r>
          </w:p>
        </w:tc>
      </w:tr>
      <w:tr>
        <w:trPr>
          <w:cantSplit/>
        </w:trP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Envío exitoso de cambios a GitHub (</w:t>
            </w:r>
            <w:r>
              <w:rPr>
                <w:rFonts w:ascii="Times New Roman" w:hAnsi="Times New Roman"/>
                <w:i/>
                <w:sz w:val="20"/>
              </w:rPr>
              <w:t>push</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6</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8,6 %</w:t>
            </w:r>
          </w:p>
        </w:tc>
      </w:tr>
      <w:tr>
        <w:trPr>
          <w:cantSplit/>
        </w:trPr>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left"/>
            </w:pPr>
            <w:r/>
            <w:r>
              <w:rPr>
                <w:rFonts w:ascii="Times New Roman" w:hAnsi="Times New Roman"/>
                <w:sz w:val="20"/>
              </w:rPr>
              <w:t>Culminación integral autónoma del flujo de integración continua (100 pts)</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1,4 %</w:t>
            </w:r>
          </w:p>
        </w:tc>
      </w:tr>
    </w:tbl>
    <w:p>
      <w:pPr>
        <w:spacing w:line="240" w:lineRule="auto" w:before="60" w:after="240"/>
      </w:pPr>
      <w:r>
        <w:rPr>
          <w:rFonts w:ascii="Times New Roman" w:hAnsi="Times New Roman"/>
          <w:i/>
          <w:sz w:val="20"/>
        </w:rPr>
        <w:t>Nota.</w:t>
      </w:r>
      <w:r>
        <w:rPr>
          <w:rFonts w:ascii="Times New Roman" w:hAnsi="Times New Roman"/>
          <w:sz w:val="20"/>
        </w:rPr>
        <w:t xml:space="preserve"> Elaboración propia a partir de los registros de GitHub Actions y de las hojas de cotejo observacional en el aula. Las categorías no representan etapas mutuamente excluyentes ni necesariamente acumulativas. El cuestionario web interactivo también estuvo disponible mediante acceso directo desde el navegador (sin requerir clonación previa del repositorio). Los datos de ejecuciones de integración continua se obtuvieron de los registros de GitHub Actions. El acceso al repositorio, la clonación, la ejecución local de scripts y la realización de confirmaciones de cambios fueron registrados mediante observación directa y asistencia técnica en el aula. Se consideró culminación autónoma la obtención de 100 puntos en GitHub Actions durante el horario sincrónico del taller, sin intervención directa del equipo capacitador sobre el equipo, los archivos o los comandos ejecutados por el participante.</w:t>
      </w:r>
    </w:p>
    <w:p>
      <w:pPr>
        <w:spacing w:line="240" w:lineRule="auto" w:after="120" w:before="0"/>
      </w:pPr>
      <w:r>
        <w:rPr>
          <w:rFonts w:ascii="Times New Roman" w:hAnsi="Times New Roman"/>
          <w:sz w:val="24"/>
        </w:rPr>
        <w:t>Como se observa en la Tabla 1, mientras que el 74,3 % de los asistentes resolvió con éxito las actividades conceptuales provistas mediante la interfaz web desacoplada (</w:t>
      </w:r>
      <w:r>
        <w:rPr>
          <w:rFonts w:ascii="Consolas" w:hAnsi="Consolas"/>
          <w:sz w:val="21"/>
        </w:rPr>
        <w:t>index.html</w:t>
      </w:r>
      <w:r>
        <w:rPr>
          <w:rFonts w:ascii="Times New Roman" w:hAnsi="Times New Roman"/>
          <w:sz w:val="24"/>
        </w:rPr>
        <w:t xml:space="preserve">), únicamente 6 personas (8,6 %) lograron sincronizar cambios remotos hacia GitHub, y </w:t>
      </w:r>
      <w:r>
        <w:rPr>
          <w:rFonts w:ascii="Times New Roman" w:hAnsi="Times New Roman"/>
          <w:b/>
          <w:sz w:val="24"/>
        </w:rPr>
        <w:t>un único participante (1,4 %) completó de manera plenamente autónoma la totalidad de los requisitos verificados por GitHub Actions (100 puntos)</w:t>
      </w:r>
      <w:r>
        <w:rPr>
          <w:rFonts w:ascii="Times New Roman" w:hAnsi="Times New Roman"/>
          <w:sz w:val="24"/>
        </w:rPr>
        <w:t xml:space="preserve"> durante el horario sincrónico del taller.</w:t>
      </w:r>
    </w:p>
    <w:p>
      <w:pPr>
        <w:pStyle w:val="Heading2"/>
        <w:spacing w:before="200" w:after="80"/>
        <w:jc w:val="left"/>
      </w:pPr>
      <w:r>
        <w:rPr>
          <w:rFonts w:ascii="Times New Roman" w:hAnsi="Times New Roman"/>
          <w:b/>
          <w:sz w:val="24"/>
        </w:rPr>
        <w:t>3.3. Factores asociados a la adopción y barreras emergentes (PI3)</w:t>
      </w:r>
    </w:p>
    <w:p>
      <w:pPr>
        <w:spacing w:line="240" w:lineRule="auto" w:after="120" w:before="0"/>
      </w:pPr>
      <w:r>
        <w:rPr>
          <w:rFonts w:ascii="Times New Roman" w:hAnsi="Times New Roman"/>
          <w:sz w:val="24"/>
        </w:rPr>
        <w:t>El análisis temático de las notas de campo y las consultas de los participantes permitió identificar tres patrones recurrentes asociados con la brecha observada en la culminación del flujo técnico:</w:t>
      </w:r>
    </w:p>
    <w:p>
      <w:pPr>
        <w:spacing w:line="240" w:lineRule="auto" w:after="120" w:before="0"/>
      </w:pPr>
      <w:r>
        <w:rPr>
          <w:rFonts w:ascii="Times New Roman" w:hAnsi="Times New Roman"/>
          <w:sz w:val="24"/>
        </w:rPr>
        <w:t xml:space="preserve">1. </w:t>
      </w:r>
      <w:r>
        <w:rPr>
          <w:rFonts w:ascii="Times New Roman" w:hAnsi="Times New Roman"/>
          <w:b/>
          <w:sz w:val="24"/>
        </w:rPr>
        <w:t>Fricción instrumental con el ecosistema de control de versiones (Git/CLI):</w:t>
      </w:r>
      <w:r>
        <w:rPr>
          <w:rFonts w:ascii="Times New Roman" w:hAnsi="Times New Roman"/>
          <w:sz w:val="24"/>
        </w:rPr>
        <w:t xml:space="preserve"> La categoría de barrera con mayor frecuencia de incidencias registradas en las notas de campo (n = 28 incidencias documentadas) no estuvo vinculada con la comprensión pedagógica de MCP, sino con incidentes instrumentales durante el uso de la terminal: errores en la autenticación de cuentas mediante tokens de acceso personal en GitHub, fallas de sintaxis en comandos de consola (</w:t>
      </w:r>
      <w:r>
        <w:rPr>
          <w:rFonts w:ascii="Consolas" w:hAnsi="Consolas"/>
          <w:sz w:val="21"/>
        </w:rPr>
        <w:t>git commit -m</w:t>
      </w:r>
      <w:r>
        <w:rPr>
          <w:rFonts w:ascii="Times New Roman" w:hAnsi="Times New Roman"/>
          <w:sz w:val="24"/>
        </w:rPr>
        <w:t>) y desorientación ante estados de bifurcación o ramas desacopladas (</w:t>
      </w:r>
      <w:r>
        <w:rPr>
          <w:rFonts w:ascii="Times New Roman" w:hAnsi="Times New Roman"/>
          <w:i/>
          <w:sz w:val="24"/>
        </w:rPr>
        <w:t>detached HEAD</w:t>
      </w:r>
      <w:r>
        <w:rPr>
          <w:rFonts w:ascii="Times New Roman" w:hAnsi="Times New Roman"/>
          <w:sz w:val="24"/>
        </w:rPr>
        <w:t>).</w:t>
      </w:r>
    </w:p>
    <w:p>
      <w:pPr>
        <w:spacing w:line="240" w:lineRule="auto" w:after="120" w:before="0"/>
      </w:pPr>
      <w:r>
        <w:rPr>
          <w:rFonts w:ascii="Times New Roman" w:hAnsi="Times New Roman"/>
          <w:sz w:val="24"/>
        </w:rPr>
        <w:t xml:space="preserve">2. </w:t>
      </w:r>
      <w:r>
        <w:rPr>
          <w:rFonts w:ascii="Times New Roman" w:hAnsi="Times New Roman"/>
          <w:b/>
          <w:sz w:val="24"/>
        </w:rPr>
        <w:t>Modalidad de participación predominantemente observacional:</w:t>
      </w:r>
      <w:r>
        <w:rPr>
          <w:rFonts w:ascii="Times New Roman" w:hAnsi="Times New Roman"/>
          <w:sz w:val="24"/>
        </w:rPr>
        <w:t xml:space="preserve"> Se registraron casos reiterados (n = 21 observaciones) de participantes que siguieron las demostraciones del instructor en pantalla, tomaron notas metodológicas y postergaron la configuración en sus propios equipos, manifestando explícitamente su preferencia por diferir la ejecución técnica para una instancia asincrónica posterior sin presión temporal.</w:t>
      </w:r>
    </w:p>
    <w:p>
      <w:pPr>
        <w:spacing w:line="240" w:lineRule="auto" w:after="120" w:before="0"/>
      </w:pPr>
      <w:r>
        <w:rPr>
          <w:rFonts w:ascii="Times New Roman" w:hAnsi="Times New Roman"/>
          <w:sz w:val="24"/>
        </w:rPr>
        <w:t xml:space="preserve">3. </w:t>
      </w:r>
      <w:r>
        <w:rPr>
          <w:rFonts w:ascii="Times New Roman" w:hAnsi="Times New Roman"/>
          <w:b/>
          <w:sz w:val="24"/>
        </w:rPr>
        <w:t>Disposición favorable hacia interfaces interactivas desacopladas:</w:t>
      </w:r>
      <w:r>
        <w:rPr>
          <w:rFonts w:ascii="Times New Roman" w:hAnsi="Times New Roman"/>
          <w:sz w:val="24"/>
        </w:rPr>
        <w:t xml:space="preserve"> Se observó una marcada fluidez operativa (n = 15 registros positivos) cuando los participantes interactuaron con el cuestionario y los recursos didácticos web locales en HTML/JS. Al no requerir dependencias de compilación ni comandos de consola, estos recursos permitieron a los asistentes validar conceptos algorítmicos y de evaluación sin experimentar bloqueos técnicos.</w:t>
      </w:r>
    </w:p>
    <w:p>
      <w:pPr>
        <w:spacing w:line="240" w:lineRule="auto" w:after="120" w:before="0"/>
      </w:pPr>
      <w:r>
        <w:rPr>
          <w:rFonts w:ascii="Times New Roman" w:hAnsi="Times New Roman"/>
          <w:sz w:val="24"/>
        </w:rPr>
        <w:t>Estos patrones fundamentaron tres necesidades de andamiaje: una ruta preliminar de alfabetización en Git, la disponibilidad de interfaces visuales equivalentes y una secuenciación que permita apropiarse primero de los principios pedagógicos antes de incorporar el flujo técnico completo.</w:t>
      </w:r>
    </w:p>
    <w:p>
      <w:pPr>
        <w:pStyle w:val="Heading1"/>
        <w:spacing w:before="280" w:after="120"/>
        <w:jc w:val="center"/>
      </w:pPr>
      <w:r>
        <w:rPr>
          <w:rFonts w:ascii="Times New Roman" w:hAnsi="Times New Roman"/>
          <w:b/>
          <w:sz w:val="24"/>
        </w:rPr>
        <w:t>4. DISCUSIÓN</w:t>
      </w:r>
    </w:p>
    <w:p>
      <w:pPr>
        <w:pStyle w:val="Heading2"/>
        <w:spacing w:before="200" w:after="80"/>
        <w:jc w:val="left"/>
      </w:pPr>
      <w:r>
        <w:rPr>
          <w:rFonts w:ascii="Times New Roman" w:hAnsi="Times New Roman"/>
          <w:b/>
          <w:sz w:val="24"/>
        </w:rPr>
        <w:t>4.1. La brecha instrumental (*tooling gap*) como factor crítico</w:t>
      </w:r>
    </w:p>
    <w:p>
      <w:pPr>
        <w:spacing w:line="240" w:lineRule="auto" w:after="120" w:before="0"/>
      </w:pPr>
      <w:r>
        <w:rPr>
          <w:rFonts w:ascii="Times New Roman" w:hAnsi="Times New Roman"/>
          <w:sz w:val="24"/>
        </w:rPr>
        <w:t>El marcado contraste entre la elevada tasa de asistencia de la cohorte (87,5 %) y la baja culminación del flujo automatizado en GitHub Actions durante el horario sincrónico del taller (1,4 %) constituye el resultado descriptivo más destacado de la experiencia. Conviene precisar que esta métrica refleja estrictamente la finalización autónoma dentro de la ventana horaria presencial del taller, sin indicar que los demás participantes carecieran de la capacidad para completar el proceso en instancias asincrónicas posteriores.</w:t>
      </w:r>
    </w:p>
    <w:p>
      <w:pPr>
        <w:spacing w:line="240" w:lineRule="auto" w:after="120" w:before="0"/>
      </w:pPr>
      <w:r>
        <w:rPr>
          <w:rFonts w:ascii="Times New Roman" w:hAnsi="Times New Roman"/>
          <w:sz w:val="24"/>
        </w:rPr>
        <w:t>Los resultados de este estudio sugieren que la incorporación simultánea de herramientas profesionales de integración continua y control de versiones puede introducir una carga instrumental secundaria que compite con los objetivos pedagógicos centrales del taller. Cuando se intenta capacitar en el diseño de agentes de IA y se exige simultáneamente el dominio de flujos completos de Git y terminal, la fricción instrumental puede dificultar la apropiación pedagógica.</w:t>
      </w:r>
    </w:p>
    <w:p>
      <w:pPr>
        <w:spacing w:line="240" w:lineRule="auto" w:after="120" w:before="0"/>
      </w:pPr>
      <w:r>
        <w:rPr>
          <w:rFonts w:ascii="Times New Roman" w:hAnsi="Times New Roman"/>
          <w:sz w:val="24"/>
        </w:rPr>
        <w:t>Este patrón es coherente con la teoría de la carga cognitiva (Sweller, 1988): cuando una tarea exige coordinar contenidos nuevos (diseño de agentes, rúbricas, especificaciones) con procedimientos instrumentales poco automatizados (autenticación, ramas, confirmaciones de cambios), la memoria de trabajo disponible para el aprendizaje conceptual se reduce. La literatura sobre instrucción también advierte que la guía mínima ante tareas complejas resulta menos eficaz para quienes tienen poca experiencia previa que las secuencias guiadas (Kirschner et al., 2006), y el análisis conceptual de Git ha señalado inconsistencias de diseño que explican parte de las dificultades de usuarios sin experiencia (Perez De Rosso &amp; Jackson, 2013). Estos antecedentes respaldan, de manera interpretativa y no causal, la conveniencia de una alfabetización técnica previa y de interfaces que desacoplen el contenido pedagógico de la consola.</w:t>
      </w:r>
    </w:p>
    <w:p>
      <w:pPr>
        <w:spacing w:line="240" w:lineRule="auto" w:after="120" w:before="0"/>
      </w:pPr>
      <w:r>
        <w:rPr>
          <w:rFonts w:ascii="Times New Roman" w:hAnsi="Times New Roman"/>
          <w:sz w:val="24"/>
        </w:rPr>
        <w:t>Este hallazgo fundamenta la necesidad de repensar los canales de entrega. Para que arquitecturas basadas en MCP puedan ser adoptadas de forma amplia por docentes universitarios de diversas disciplinas, es imprescindible encapsular la complejidad de la consola de comandos mediante editores con interfaces gráficas amigables, extensiones integradas o plataformas de aprendizaje nativas que no requieran manipulación directa de flujos Git de bajo nivel.</w:t>
      </w:r>
    </w:p>
    <w:p>
      <w:pPr>
        <w:pStyle w:val="Heading2"/>
        <w:spacing w:before="200" w:after="80"/>
        <w:jc w:val="left"/>
      </w:pPr>
      <w:r>
        <w:rPr>
          <w:rFonts w:ascii="Times New Roman" w:hAnsi="Times New Roman"/>
          <w:b/>
          <w:sz w:val="24"/>
        </w:rPr>
        <w:t>4.2.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Consolas" w:hAnsi="Consolas"/>
          <w:sz w:val="21"/>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 xml:space="preserve">La exigencia protocolizada de vincular cada dictamen a evidencias localizables en el código facilitó la detección docente de afirmaciones erróneas y estableció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 Esta cautela es consistente con las revisiones sobre rúbricas analíticas, que asocian criterios explícitos y descriptores de desempeño con una mayor consistencia de las puntuaciones sin que ello garantice por sí solo la validez de la evaluación (Jonsson &amp; Svingby, 2007); en este trabajo, la formalización de criterios en </w:t>
      </w:r>
      <w:r>
        <w:rPr>
          <w:rFonts w:ascii="Consolas" w:hAnsi="Consolas"/>
          <w:sz w:val="21"/>
        </w:rPr>
        <w:t>rubrica.md</w:t>
      </w:r>
      <w:r>
        <w:rPr>
          <w:rFonts w:ascii="Times New Roman" w:hAnsi="Times New Roman"/>
          <w:sz w:val="24"/>
        </w:rPr>
        <w:t xml:space="preserve"> constituye una condición plausible, pero no demostrada, de la consistencia aparente observada.</w:t>
      </w:r>
    </w:p>
    <w:p>
      <w:pPr>
        <w:pStyle w:val="Heading2"/>
        <w:spacing w:before="200" w:after="80"/>
        <w:jc w:val="left"/>
      </w:pPr>
      <w:r>
        <w:rPr>
          <w:rFonts w:ascii="Times New Roman" w:hAnsi="Times New Roman"/>
          <w:b/>
          <w:sz w:val="24"/>
        </w:rPr>
        <w:t>4.3.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Durante el pilotaje, el equipo docente percibió que el prediagnóstico asistido disminuía el trabajo rutinario de localización y cotejo de patrones de código; sin embargo, esta percepción no fue cuantificada mediante un protocolo temporal controlado. Este rol de supervisión coincide con la evidencia de que la eficacia de la retroalimentación depende de su especificidad, su vínculo con la tarea y su orientación hacia la acción (Hattie &amp; Timperley, 2007), atributos que la revisión docente permite verificar antes de comunicarla, y con las advertencias sobre inexactitudes y variabilidad de los modelos generativos en la educación en computación (Denny et al., 2024; Lau &amp; Guo, 2023).</w:t>
      </w:r>
    </w:p>
    <w:p>
      <w:pPr>
        <w:spacing w:line="240" w:lineRule="auto" w:after="120" w:before="0"/>
      </w:pPr>
      <w:r>
        <w:rPr>
          <w:rFonts w:ascii="Times New Roman" w:hAnsi="Times New Roman"/>
          <w:sz w:val="24"/>
        </w:rPr>
        <w:t>Delegar la retroalimentación final directamente en un modelo generativo sin intervención humana vulnera el principio de responsabilidad pedagógica e incrementa la desprotección del estudiante ante eventuales sesgos algorítmicos. La supervisión activa no representa un obstáculo burocrático, sino la condición indispensable para que la tecnología opere de manera ética y formativamente significativa.</w:t>
      </w:r>
    </w:p>
    <w:p>
      <w:pPr>
        <w:pStyle w:val="Heading2"/>
        <w:spacing w:before="200" w:after="80"/>
        <w:jc w:val="left"/>
      </w:pPr>
      <w:r>
        <w:rPr>
          <w:rFonts w:ascii="Times New Roman" w:hAnsi="Times New Roman"/>
          <w:b/>
          <w:sz w:val="24"/>
        </w:rPr>
        <w:t>4.4. Implicaciones para la formación docente en informática</w:t>
      </w:r>
    </w:p>
    <w:p>
      <w:pPr>
        <w:spacing w:line="240" w:lineRule="auto" w:after="120" w:before="0"/>
      </w:pPr>
      <w:r>
        <w:rPr>
          <w:rFonts w:ascii="Times New Roman" w:hAnsi="Times New Roman"/>
          <w:sz w:val="24"/>
        </w:rPr>
        <w:t>La interacción entre docentes de ingeniería en ejercicio y futuros formadores en informática educativa permitió observar aportes potencialmente complementarios para la innovación educativa. En las notas de campo aparecieron tanto consultas vinculadas con el aislamiento técnico de entornos como preguntas sobre rúbricas, retroalimentación y accesibilidad. Debido al carácter exploratorio del registro y a la ausencia de una comparación sistemática entre grupos, estos énfasis no permiten atribuir patrones diferenciados a cada perfil formativo. No obstante, la presencia de ambos tipos de preocupaciones en una misma instancia formativa sugiere la conveniencia de integrar miradas técnicas y pedagógicas para evitar tanto el determinismo técnico como la adopción pedagógica ingenua de la IA.</w:t>
      </w:r>
    </w:p>
    <w:p>
      <w:pPr>
        <w:pStyle w:val="Heading2"/>
        <w:spacing w:before="200" w:after="80"/>
        <w:jc w:val="left"/>
      </w:pPr>
      <w:r>
        <w:rPr>
          <w:rFonts w:ascii="Times New Roman" w:hAnsi="Times New Roman"/>
          <w:b/>
          <w:sz w:val="24"/>
        </w:rPr>
        <w:t>4.5. Limitaciones del estudio</w:t>
      </w:r>
    </w:p>
    <w:p>
      <w:pPr>
        <w:spacing w:line="240" w:lineRule="auto" w:after="120" w:before="0"/>
      </w:pPr>
      <w:r>
        <w:rPr>
          <w:rFonts w:ascii="Times New Roman" w:hAnsi="Times New Roman"/>
          <w:sz w:val="24"/>
        </w:rPr>
        <w:t>Los hallazgos del presente trabajo deben interpretarse a la luz de diversas limitaciones metodológicas:</w:t>
      </w:r>
    </w:p>
    <w:p>
      <w:pPr>
        <w:spacing w:line="240" w:lineRule="auto" w:after="120" w:before="0"/>
      </w:pPr>
      <w:r>
        <w:rPr>
          <w:rFonts w:ascii="Times New Roman" w:hAnsi="Times New Roman"/>
          <w:sz w:val="24"/>
        </w:rPr>
        <w:t xml:space="preserve">1. </w:t>
      </w:r>
      <w:r>
        <w:rPr>
          <w:rFonts w:ascii="Times New Roman" w:hAnsi="Times New Roman"/>
          <w:b/>
          <w:sz w:val="24"/>
        </w:rPr>
        <w:t>Cohorte no probabilística y autoseleccionada:</w:t>
      </w:r>
      <w:r>
        <w:rPr>
          <w:rFonts w:ascii="Times New Roman" w:hAnsi="Times New Roman"/>
          <w:sz w:val="24"/>
        </w:rPr>
        <w:t xml:space="preserve"> La población del taller estuvo conformada por una cohorte no probabilística y autoseleccionada de participantes voluntarios pertenecientes a dos instituciones de una misma región, lo que restringe la generalización de los resultados y refleja la predisposición inicial de quienes respondieron a la convocatoria.</w:t>
      </w:r>
    </w:p>
    <w:p>
      <w:pPr>
        <w:spacing w:line="240" w:lineRule="auto" w:after="120" w:before="0"/>
      </w:pPr>
      <w:r>
        <w:rPr>
          <w:rFonts w:ascii="Times New Roman" w:hAnsi="Times New Roman"/>
          <w:sz w:val="24"/>
        </w:rPr>
        <w:t xml:space="preserve">2. </w:t>
      </w:r>
      <w:r>
        <w:rPr>
          <w:rFonts w:ascii="Times New Roman" w:hAnsi="Times New Roman"/>
          <w:b/>
          <w:sz w:val="24"/>
        </w:rPr>
        <w:t>Diseño descriptivo sin grupo de comparación:</w:t>
      </w:r>
      <w:r>
        <w:rPr>
          <w:rFonts w:ascii="Times New Roman" w:hAnsi="Times New Roman"/>
          <w:sz w:val="24"/>
        </w:rPr>
        <w:t xml:space="preserve"> La investigación no contempló un grupo de control ni mediciones de tipo pretest/postest para evaluar cuantitativamente el aprendizaje o la ganancia de competencias en comparación con metodologías formativas tradicionales.</w:t>
      </w:r>
    </w:p>
    <w:p>
      <w:pPr>
        <w:spacing w:line="240" w:lineRule="auto" w:after="120" w:before="0"/>
      </w:pPr>
      <w:r>
        <w:rPr>
          <w:rFonts w:ascii="Times New Roman" w:hAnsi="Times New Roman"/>
          <w:sz w:val="24"/>
        </w:rPr>
        <w:t xml:space="preserve">3. </w:t>
      </w:r>
      <w:r>
        <w:rPr>
          <w:rFonts w:ascii="Times New Roman" w:hAnsi="Times New Roman"/>
          <w:b/>
          <w:sz w:val="24"/>
        </w:rPr>
        <w:t>Ausencia de mediciones de línea de base:</w:t>
      </w:r>
      <w:r>
        <w:rPr>
          <w:rFonts w:ascii="Times New Roman" w:hAnsi="Times New Roman"/>
          <w:sz w:val="24"/>
        </w:rPr>
        <w:t xml:space="preserve"> No se aplicó un instrumento previo estandarizado para cuantificar el nivel de competencia de los participantes en herramientas de control de versiones (Git) o en el uso de IA generativa, lo que impide aislar con precisión el peso relativo de las habilidades previas sobre la baja culminación del pipeline.</w:t>
      </w:r>
    </w:p>
    <w:p>
      <w:pPr>
        <w:spacing w:line="240" w:lineRule="auto" w:after="120" w:before="0"/>
      </w:pPr>
      <w:r>
        <w:rPr>
          <w:rFonts w:ascii="Times New Roman" w:hAnsi="Times New Roman"/>
          <w:sz w:val="24"/>
        </w:rPr>
        <w:t xml:space="preserve">4. </w:t>
      </w:r>
      <w:r>
        <w:rPr>
          <w:rFonts w:ascii="Times New Roman" w:hAnsi="Times New Roman"/>
          <w:b/>
          <w:sz w:val="24"/>
        </w:rPr>
        <w:t>Restricción temporal del taller:</w:t>
      </w:r>
      <w:r>
        <w:rPr>
          <w:rFonts w:ascii="Times New Roman" w:hAnsi="Times New Roman"/>
          <w:sz w:val="24"/>
        </w:rPr>
        <w:t xml:space="preserve"> La duración de diez horas reloj concentradas en dos jornadas consecutivas pudo haber acentuado la sobrecarga cognitiva, limitando el tiempo disponible para la resolución autónoma de contingencias técnicas complejas.</w:t>
      </w:r>
    </w:p>
    <w:p>
      <w:pPr>
        <w:spacing w:line="240" w:lineRule="auto" w:after="120" w:before="0"/>
      </w:pPr>
      <w:r>
        <w:rPr>
          <w:rFonts w:ascii="Times New Roman" w:hAnsi="Times New Roman"/>
          <w:sz w:val="24"/>
        </w:rPr>
        <w:t xml:space="preserve">5. </w:t>
      </w:r>
      <w:r>
        <w:rPr>
          <w:rFonts w:ascii="Times New Roman" w:hAnsi="Times New Roman"/>
          <w:b/>
          <w:sz w:val="24"/>
        </w:rPr>
        <w:t>Doble rol del equipo investigador:</w:t>
      </w:r>
      <w:r>
        <w:rPr>
          <w:rFonts w:ascii="Times New Roman" w:hAnsi="Times New Roman"/>
          <w:sz w:val="24"/>
        </w:rPr>
        <w:t xml:space="preserve"> La participación de los investigadores como diseñadores de la arquitectura, docentes a cargo del pilotaje y capacitadores en el taller introduce un potencial sesgo de observación, atenuado parcialmente mediante el uso de registros técnicos automatizados.</w:t>
      </w:r>
    </w:p>
    <w:p>
      <w:pPr>
        <w:spacing w:line="240" w:lineRule="auto" w:after="120" w:before="0"/>
      </w:pPr>
      <w:r>
        <w:rPr>
          <w:rFonts w:ascii="Times New Roman" w:hAnsi="Times New Roman"/>
          <w:sz w:val="24"/>
        </w:rPr>
        <w:t xml:space="preserve">6. </w:t>
      </w:r>
      <w:r>
        <w:rPr>
          <w:rFonts w:ascii="Times New Roman" w:hAnsi="Times New Roman"/>
          <w:b/>
          <w:sz w:val="24"/>
        </w:rPr>
        <w:t>Carácter preliminar del análisis temporal:</w:t>
      </w:r>
      <w:r>
        <w:rPr>
          <w:rFonts w:ascii="Times New Roman" w:hAnsi="Times New Roman"/>
          <w:sz w:val="24"/>
        </w:rPr>
        <w:t xml:space="preserve"> Las observaciones sobre el ahorro de tiempo docente en la revisión son cualitativas y proceden de la experiencia de pilotaje, no habiendo sido sometidas a un protocolo formal de cronometraje y comparación experimental.</w:t>
      </w:r>
    </w:p>
    <w:p>
      <w:pPr>
        <w:spacing w:line="240" w:lineRule="auto" w:after="120" w:before="0"/>
      </w:pPr>
      <w:r>
        <w:rPr>
          <w:rFonts w:ascii="Times New Roman" w:hAnsi="Times New Roman"/>
          <w:sz w:val="24"/>
        </w:rPr>
        <w:t xml:space="preserve">7. </w:t>
      </w:r>
      <w:r>
        <w:rPr>
          <w:rFonts w:ascii="Times New Roman" w:hAnsi="Times New Roman"/>
          <w:b/>
          <w:sz w:val="24"/>
        </w:rPr>
        <w:t>Limitación ética y procedimental:</w:t>
      </w:r>
      <w:r>
        <w:rPr>
          <w:rFonts w:ascii="Times New Roman" w:hAnsi="Times New Roman"/>
          <w:sz w:val="24"/>
        </w:rPr>
        <w:t xml:space="preserve"> Si bien se garantizó la anonimización estricta, la participación voluntaria y la comunicación oral previa de los propósitos formativos y analíticos, la actividad no contó con evaluación previa ni con una certificación formal de exención emitida por un comité de ética institucional. Esta condición constituye una limitación procedimental del diseño, pendiente de la determinación escrita de la autoridad institucional competente sobre el encuadre del tratamiento y la difusión de los registros agregados obtenidos.</w:t>
      </w:r>
    </w:p>
    <w:p>
      <w:pPr>
        <w:spacing w:line="240" w:lineRule="auto" w:after="120" w:before="0"/>
      </w:pPr>
      <w:r>
        <w:rPr>
          <w:rFonts w:ascii="Times New Roman" w:hAnsi="Times New Roman"/>
          <w:sz w:val="24"/>
        </w:rPr>
        <w:t xml:space="preserve">8. </w:t>
      </w:r>
      <w:r>
        <w:rPr>
          <w:rFonts w:ascii="Times New Roman" w:hAnsi="Times New Roman"/>
          <w:b/>
          <w:sz w:val="24"/>
        </w:rPr>
        <w:t>Evidencia exploratoria del pilotaje curricular:</w:t>
      </w:r>
      <w:r>
        <w:rPr>
          <w:rFonts w:ascii="Times New Roman" w:hAnsi="Times New Roman"/>
          <w:sz w:val="24"/>
        </w:rPr>
        <w:t xml:space="preserve"> La observación sobre la estructura común de los prediagnósticos procede de un pilotaje descriptivo que no registró de manera sistemática la cantidad de entregas analizadas, de borradores generados, de docentes revisores, de afirmaciones erróneas detectadas ni la proporción de borradores aceptados o modificados; en consecuencia, no permite inferir calidad pedagógica, exactitud ni causalidad.</w:t>
      </w:r>
    </w:p>
    <w:p>
      <w:pPr>
        <w:pStyle w:val="Heading1"/>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implementación y estudio de transferencia de una arquitectura sociotécnica para la evaluación continua asistida por agentes de inteligencia artificial en programación universitaria, basada en el Protocolo de Contexto de Modelo (MCP), especificaciones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 y fundamentación pedagógica preliminar:</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ética y pedagógica humana.</w:t>
      </w:r>
    </w:p>
    <w:p>
      <w:pPr>
        <w:spacing w:line="240" w:lineRule="auto" w:after="120" w:before="0"/>
      </w:pPr>
      <w:r>
        <w:rPr>
          <w:rFonts w:ascii="Times New Roman" w:hAnsi="Times New Roman"/>
          <w:sz w:val="24"/>
        </w:rPr>
        <w:t xml:space="preserve">3. </w:t>
      </w:r>
      <w:r>
        <w:rPr>
          <w:rFonts w:ascii="Times New Roman" w:hAnsi="Times New Roman"/>
          <w:b/>
          <w:sz w:val="24"/>
        </w:rPr>
        <w:t>Identificación de la brecha instrumental:</w:t>
      </w:r>
      <w:r>
        <w:rPr>
          <w:rFonts w:ascii="Times New Roman" w:hAnsi="Times New Roman"/>
          <w:sz w:val="24"/>
        </w:rPr>
        <w:t xml:space="preserve"> El estudio identificó la fricción asociada con Git y la consola como el principal cuello de botella observado durante el taller, respaldando la conveniencia de desarrollar interfaces visuales y recursos desacoplados que faciliten una apropiación pedagógica gradual.</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 final de los estudiantes.</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 detectada.</w:t>
      </w:r>
    </w:p>
    <w:p>
      <w:pPr>
        <w:spacing w:line="240" w:lineRule="auto" w:after="120" w:before="0"/>
      </w:pPr>
      <w:r>
        <w:rPr>
          <w:rFonts w:ascii="Times New Roman" w:hAnsi="Times New Roman"/>
          <w:sz w:val="24"/>
        </w:rPr>
        <w:t>- La profundización en estudios de concordancia interjueces para cuantificar la consistencia evaluativa alcanzada mediante el uso de especificaciones matriciales formales.</w:t>
      </w:r>
    </w:p>
    <w:p>
      <w:pPr>
        <w:pStyle w:val="Heading1"/>
        <w:spacing w:before="280" w:after="120"/>
        <w:jc w:val="center"/>
      </w:pPr>
      <w:r>
        <w:rPr>
          <w:rFonts w:ascii="Times New Roman" w:hAnsi="Times New Roman"/>
          <w:b/>
          <w:sz w:val="24"/>
        </w:rPr>
        <w:t>6. DECLARACIONES OBLIGATORIAS</w:t>
      </w:r>
    </w:p>
    <w:p>
      <w:pPr>
        <w:pStyle w:val="Heading2"/>
        <w:spacing w:before="200" w:after="80"/>
        <w:jc w:val="left"/>
      </w:pPr>
      <w:r>
        <w:rPr>
          <w:rFonts w:ascii="Times New Roman" w:hAnsi="Times New Roman"/>
          <w:b/>
          <w:sz w:val="24"/>
        </w:rPr>
        <w:t>Declaración de financiamiento y apoyo institucional</w:t>
      </w:r>
    </w:p>
    <w:p>
      <w:pPr>
        <w:spacing w:line="240" w:lineRule="auto" w:after="120" w:before="0"/>
      </w:pPr>
      <w:r>
        <w:rPr>
          <w:rFonts w:ascii="Times New Roman" w:hAnsi="Times New Roman"/>
          <w:sz w:val="24"/>
        </w:rPr>
        <w:t>La información identificatoria sobre la fuente institucional de apoyo, financiamiento y acreditación del proyecto se ha omitido temporalmente para preservar la evaluación a doble ciego y fue comunicada al Comité Editorial mediante la plataforma OJS. Se incorporará formalmente en la versión aceptada.</w:t>
      </w:r>
    </w:p>
    <w:p>
      <w:pPr>
        <w:pStyle w:val="Heading2"/>
        <w:spacing w:before="200" w:after="80"/>
        <w:jc w:val="left"/>
      </w:pPr>
      <w:r>
        <w:rPr>
          <w:rFonts w:ascii="Times New Roman" w:hAnsi="Times New Roman"/>
          <w:b/>
          <w:sz w:val="24"/>
        </w:rPr>
        <w:t>Declaración sobre el uso de inteligencia artificial</w:t>
      </w:r>
    </w:p>
    <w:p>
      <w:pPr>
        <w:spacing w:line="240" w:lineRule="auto" w:after="120" w:before="0"/>
      </w:pPr>
      <w:r>
        <w:rPr>
          <w:rFonts w:ascii="Times New Roman" w:hAnsi="Times New Roman"/>
          <w:sz w:val="24"/>
        </w:rPr>
        <w:t>Durante la preparación de este trabajo, los autores utilizaron el entorno Antigravity IDE (operando con los modelos Claude 3.7 Sonnet y Gemini) y el asistente Microsoft Copilot para asistir en la organización preliminar del contenido, la revisión estilística y gramatical del manuscrito en español, la traducción y revisión del resumen al inglés, y el cotejo normativo de directrices editoriales. Las herramientas de inteligencia artificial no fueron utilizadas para generar datos empíricos, resultados observacionales ni referencias bibliográficas. Los autores revisaron y editaron críticamente el contenido asistido, verificaron la integridad de las citas y asumen plena responsabilidad por el contenido final de la publicación.</w:t>
      </w:r>
    </w:p>
    <w:p>
      <w:pPr>
        <w:pStyle w:val="Heading2"/>
        <w:spacing w:before="200" w:after="80"/>
        <w:jc w:val="left"/>
      </w:pPr>
      <w:r>
        <w:rPr>
          <w:rFonts w:ascii="Times New Roman" w:hAnsi="Times New Roman"/>
          <w:b/>
          <w:sz w:val="24"/>
        </w:rPr>
        <w:t>Consideraciones sobre el resguardo de datos y consideraciones éticas</w:t>
      </w:r>
    </w:p>
    <w:p>
      <w:pPr>
        <w:spacing w:line="240" w:lineRule="auto" w:after="120" w:before="0"/>
      </w:pPr>
      <w:r>
        <w:rPr>
          <w:rFonts w:ascii="Times New Roman" w:hAnsi="Times New Roman"/>
          <w:sz w:val="24"/>
        </w:rPr>
        <w:t>Si bien el propósito central fue evaluar técnicamente la observabilidad y la usabilidad de la arquitectura, el estudio involucró participantes humanos (n = 70) en un taller formativo voluntario, con seguimiento de avances individuales mediante códigos alfanuméricos temporales, observación de conductas y notas de campo. La recolección de datos se limitó a métricas técnicas de ejecución y notas cualitativas estructuradas. Al inicio de los encuentros, se informó oralmente a los asistentes sobre el propósito formativo y analítico de la experiencia, el carácter enteramente voluntario de su intervención y el tratamiento agregado de los registros técnicos generados; no se suscribieron formularios individuales de consentimiento informado ni se recolectaron datos personales sensibles, ni se derivaron consecuencias académicas, laborales ni evaluativas para los participantes. La actividad no contó con evaluación previa ni con una certificación formal de exención emitida por un comité de ética institucional. Esta circunstancia constituye una limitación ética y procedimental del diseño. La determinación escrita de la autoridad institucional competente sobre el encuadre del tratamiento y la difusión de los registros agregados obtenidos será incorporada a esta declaración una vez emitida; hasta entonces, los resultados que involucran participantes humanos deben interpretarse con esta salvedad.</w:t>
      </w:r>
    </w:p>
    <w:p>
      <w:pPr>
        <w:pStyle w:val="Heading1"/>
        <w:spacing w:before="280" w:after="120"/>
        <w:jc w:val="center"/>
      </w:pPr>
      <w:r>
        <w:rPr>
          <w:rFonts w:ascii="Times New Roman" w:hAnsi="Times New Roman"/>
          <w:b/>
          <w:sz w:val="24"/>
        </w:rPr>
        <w:t>7.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Braun, V., &amp; Clarke, V. (2006). Using thematic analysis in psychology. </w:t>
      </w:r>
      <w:r>
        <w:rPr>
          <w:rFonts w:ascii="Times New Roman" w:hAnsi="Times New Roman"/>
          <w:i/>
          <w:sz w:val="24"/>
        </w:rPr>
        <w:t>Qualitative Research in Psychology, 3</w:t>
      </w:r>
      <w:r>
        <w:rPr>
          <w:rFonts w:ascii="Times New Roman" w:hAnsi="Times New Roman"/>
          <w:sz w:val="24"/>
        </w:rPr>
        <w:t>(2), 77-101. https://doi.org/10.1191/1478088706qp063oa</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Hattie, J., &amp; Timperley, H. (2007). The power of feedback. </w:t>
      </w:r>
      <w:r>
        <w:rPr>
          <w:rFonts w:ascii="Times New Roman" w:hAnsi="Times New Roman"/>
          <w:i/>
          <w:sz w:val="24"/>
        </w:rPr>
        <w:t>Review of Educational Research, 77</w:t>
      </w:r>
      <w:r>
        <w:rPr>
          <w:rFonts w:ascii="Times New Roman" w:hAnsi="Times New Roman"/>
          <w:sz w:val="24"/>
        </w:rPr>
        <w:t>(1), 81-112. https://doi.org/10.3102/003465430298487</w:t>
      </w:r>
    </w:p>
    <w:p>
      <w:pPr>
        <w:spacing w:line="240" w:lineRule="auto" w:after="120" w:before="0"/>
      </w:pPr>
      <w:r>
        <w:rPr>
          <w:rFonts w:ascii="Times New Roman" w:hAnsi="Times New Roman"/>
          <w:sz w:val="24"/>
        </w:rPr>
        <w:t xml:space="preserve">Jonsson, A., &amp; Svingby, G. (2007). The use of scoring rubrics: Reliability, validity and educational consequences. </w:t>
      </w:r>
      <w:r>
        <w:rPr>
          <w:rFonts w:ascii="Times New Roman" w:hAnsi="Times New Roman"/>
          <w:i/>
          <w:sz w:val="24"/>
        </w:rPr>
        <w:t>Educational Research Review, 2</w:t>
      </w:r>
      <w:r>
        <w:rPr>
          <w:rFonts w:ascii="Times New Roman" w:hAnsi="Times New Roman"/>
          <w:sz w:val="24"/>
        </w:rPr>
        <w:t>(2), 130-144. https://doi.org/10.1016/j.edurev.2007.05.002</w:t>
      </w:r>
    </w:p>
    <w:p>
      <w:pPr>
        <w:spacing w:line="240" w:lineRule="auto" w:after="120" w:before="0"/>
      </w:pPr>
      <w:r>
        <w:rPr>
          <w:rFonts w:ascii="Times New Roman" w:hAnsi="Times New Roman"/>
          <w:sz w:val="24"/>
        </w:rPr>
        <w:t xml:space="preserve">Kirschner, P. A., Sweller, J., &amp; Clark, R. E. (2006). Why minimal guidance during instruction does not work: An analysis of the failure of constructivist, discovery, problem-based, experiential, and inquiry-based teaching. </w:t>
      </w:r>
      <w:r>
        <w:rPr>
          <w:rFonts w:ascii="Times New Roman" w:hAnsi="Times New Roman"/>
          <w:i/>
          <w:sz w:val="24"/>
        </w:rPr>
        <w:t>Educational Psychologist, 41</w:t>
      </w:r>
      <w:r>
        <w:rPr>
          <w:rFonts w:ascii="Times New Roman" w:hAnsi="Times New Roman"/>
          <w:sz w:val="24"/>
        </w:rPr>
        <w:t>(2), 75-86. https://doi.org/10.1207/s15326985ep4102_1</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Perez De Rosso, S., &amp; Jackson, D. (2013). What's wrong with Git? A conceptual design analysis. En </w:t>
      </w:r>
      <w:r>
        <w:rPr>
          <w:rFonts w:ascii="Times New Roman" w:hAnsi="Times New Roman"/>
          <w:i/>
          <w:sz w:val="24"/>
        </w:rPr>
        <w:t>Proceedings of the 2013 ACM International Symposium on New Ideas, New Paradigms, and Reflections on Programming &amp; Software</w:t>
      </w:r>
      <w:r>
        <w:rPr>
          <w:rFonts w:ascii="Times New Roman" w:hAnsi="Times New Roman"/>
          <w:sz w:val="24"/>
        </w:rPr>
        <w:t xml:space="preserve"> (Onward! 2013) (pp. 37-52). Association for Computing Machinery. https://doi.org/10.1145/2509578.2509584</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Sweller, J. (1988). Cognitive load during problem solving: Effects on learning. </w:t>
      </w:r>
      <w:r>
        <w:rPr>
          <w:rFonts w:ascii="Times New Roman" w:hAnsi="Times New Roman"/>
          <w:i/>
          <w:sz w:val="24"/>
        </w:rPr>
        <w:t>Cognitive Science, 12</w:t>
      </w:r>
      <w:r>
        <w:rPr>
          <w:rFonts w:ascii="Times New Roman" w:hAnsi="Times New Roman"/>
          <w:sz w:val="24"/>
        </w:rPr>
        <w:t>(2), 257-285. https://doi.org/10.1207/s15516709cog1202_4</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4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Técnico - DIFUSIONES</dc:title>
  <dc:subject/>
  <dc:creator/>
  <cp:keywords/>
  <dc:description/>
  <cp:lastModifiedBy/>
  <cp:revision>1</cp:revision>
  <dcterms:created xsi:type="dcterms:W3CDTF">2013-12-23T23:15:00Z</dcterms:created>
  <dcterms:modified xsi:type="dcterms:W3CDTF">2013-12-23T23:15:00Z</dcterms:modified>
  <cp:category/>
</cp:coreProperties>
</file>