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sz w:val="26"/>
        </w:rPr>
        <w:t>INTEGRACIÓN DE AGENTES DE INTELIGENCIA ARTIFICIAL Y PROTOCOLO MCP EN LA EVALUACIÓN CONTINUA UNIVERSITARIA: ARQUITECTURA TÉCNICA Y EXPERIENCIA DE TRANSFERENCIA DOCENTE</w:t>
      </w:r>
    </w:p>
    <w:p>
      <w:pPr>
        <w:spacing w:before="280" w:after="160"/>
        <w:jc w:val="center"/>
      </w:pPr>
      <w:r>
        <w:rPr>
          <w:rFonts w:ascii="Times New Roman" w:hAnsi="Times New Roman"/>
          <w:b/>
          <w:sz w:val="26"/>
        </w:rPr>
        <w:t>INTEGRATION OF ARTIFICIAL INTELLIGENCE AGENTS AND MCP PROTOCOL IN UNIVERSITY CONTINUOUS ASSESSMENT: TECHNICAL ARCHITECTURE AND TEACHER TRANSFER EXPERIENCE</w:t>
      </w:r>
    </w:p>
    <w:p>
      <w:pPr>
        <w:spacing w:before="200" w:after="80"/>
        <w:jc w:val="left"/>
      </w:pPr>
      <w:r>
        <w:rPr>
          <w:rFonts w:ascii="Times New Roman" w:hAnsi="Times New Roman"/>
          <w:b/>
          <w:sz w:val="24"/>
        </w:rPr>
        <w:t>RESUMEN</w:t>
      </w:r>
    </w:p>
    <w:p>
      <w:pPr>
        <w:spacing w:line="240" w:lineRule="auto" w:after="120" w:before="0"/>
      </w:pPr>
      <w:r>
        <w:rPr>
          <w:rFonts w:ascii="Times New Roman" w:hAnsi="Times New Roman"/>
          <w:sz w:val="24"/>
        </w:rPr>
        <w:t>El avance acelerado de los Modelos de Lenguaje de Gran Escala (LLM) plantea desafíos sustanciales para las prácticas de evaluación en la enseñanza universitaria de la programación. Este trabajo tuvo como objetivo diseñar, implementar y evaluar preliminarmente una arquitectura sociotécnica basada en el Protocolo de Contexto de Modelo (</w:t>
      </w:r>
      <w:r>
        <w:rPr>
          <w:rFonts w:ascii="Times New Roman" w:hAnsi="Times New Roman"/>
          <w:i/>
          <w:sz w:val="24"/>
        </w:rPr>
        <w:t>Model Context Protocol</w:t>
      </w:r>
      <w:r>
        <w:rPr>
          <w:rFonts w:ascii="Times New Roman" w:hAnsi="Times New Roman"/>
          <w:sz w:val="24"/>
        </w:rPr>
        <w:t>, MCP) y el principio de supervisión docente activa (</w:t>
      </w:r>
      <w:r>
        <w:rPr>
          <w:rFonts w:ascii="Times New Roman" w:hAnsi="Times New Roman"/>
          <w:i/>
          <w:sz w:val="24"/>
        </w:rPr>
        <w:t>Human-in-the-Loop</w:t>
      </w:r>
      <w:r>
        <w:rPr>
          <w:rFonts w:ascii="Times New Roman" w:hAnsi="Times New Roman"/>
          <w:sz w:val="24"/>
        </w:rPr>
        <w:t>, HITL) para asistir la evaluación formativa continua, así como analizar las condiciones de transferibilidad de dicha propuesta en una experiencia de capacitación docente. Metodológicamente, se adoptó un enfoque de Investigación Basada en el Diseño (DBR) estructurado en tres fases secuenciales: diseño de artefactos de gobernanza contextual en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rúbricas analíticas y especificaciones formales de habilidades docentes), pilotaje curricular en asignaturas universitarias de programación y desarrollo de un taller intensivo de transferencia de diez horas reloj. La muestra estuvo constituida por 70 participantes sobre 80 personas inscriptas (tasa de asistencia del 87,5 %), integrada por docentes universitarios de ingeniería en informática y estudiantes avanzados y graduados recientes de profesorado y licenciatura en informática educativa. La recolección de datos combinó telemetría del repositorio plantilla, registros de ejecución de integración continua en GitHub Actions y notas de campo estructuradas. Los resultados mostraron una participación mayoritaria en el cuestionario web desacoplado; no obstante, únicamente 1 de los 70 participantes completó de forma autónoma el flujo de integración continua durante el taller. Este hallazgo evidencia una pronunciada brecha de instrumentación técnica (</w:t>
      </w:r>
      <w:r>
        <w:rPr>
          <w:rFonts w:ascii="Times New Roman" w:hAnsi="Times New Roman"/>
          <w:i/>
          <w:sz w:val="24"/>
        </w:rPr>
        <w:t>tooling gap</w:t>
      </w:r>
      <w:r>
        <w:rPr>
          <w:rFonts w:ascii="Times New Roman" w:hAnsi="Times New Roman"/>
          <w:sz w:val="24"/>
        </w:rPr>
        <w:t>) vinculada a la fricción operativa del control de versiones por consola. La principal limitación radica en el carácter exploratorio del estudio y la ausencia de mediciones basales estandarizadas. Se concluye que la arquitectura proporciona bases operativas viables para encauzar la IA hacia una asistencia formativa supervisada, requiriendo interfaces visuales accesibles para su adopción generalizada.</w:t>
      </w:r>
    </w:p>
    <w:p>
      <w:pPr>
        <w:spacing w:line="240" w:lineRule="auto" w:after="120" w:before="0"/>
      </w:pPr>
      <w:r>
        <w:rPr>
          <w:rFonts w:ascii="Times New Roman" w:hAnsi="Times New Roman"/>
          <w:b/>
          <w:sz w:val="24"/>
        </w:rPr>
        <w:t>Palabras clave:</w:t>
      </w:r>
      <w:r>
        <w:rPr>
          <w:rFonts w:ascii="Times New Roman" w:hAnsi="Times New Roman"/>
          <w:sz w:val="24"/>
        </w:rPr>
        <w:t xml:space="preserve"> Evaluación formativa, Agentes de inteligencia artificial, Protocolo de contexto de modelo (MCP), Formación docente, Educación en ciencias de la computación.</w:t>
      </w:r>
    </w:p>
    <w:p>
      <w:pPr>
        <w:spacing w:before="200" w:after="80"/>
        <w:jc w:val="left"/>
      </w:pPr>
      <w:r>
        <w:rPr>
          <w:rFonts w:ascii="Times New Roman" w:hAnsi="Times New Roman"/>
          <w:b/>
          <w:sz w:val="24"/>
        </w:rPr>
        <w:t>ABSTRACT</w:t>
      </w:r>
    </w:p>
    <w:p>
      <w:pPr>
        <w:spacing w:line="240" w:lineRule="auto" w:after="120" w:before="0"/>
      </w:pPr>
      <w:r>
        <w:rPr>
          <w:rFonts w:ascii="Times New Roman" w:hAnsi="Times New Roman"/>
          <w:sz w:val="24"/>
        </w:rPr>
        <w:t>The rapid advancement of Large Language Models (LLMs) poses substantial challenges for traditional assessment practices in university computer science and programming education. This empirical study aimed to design, implement, and preliminarily evaluate a sociotechnical architecture based on the Model Context Protocol (MCP) and the active Human-in-the-Loop (HITL) principle to assist continuous formative assessment, as well as to analyze the transferability conditions of this approach within a teacher professional development context. Methodologically, the research adopted a Design-Based Research (DBR) framework structured across three sequential phases: the design of plain-text contextual governance artifacts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analytical rubrics, and formal teaching skill specifications), curricular piloting in university programming courses, and the delivery of an intensive ten-hour teacher training workshop. The study sample comprised 70 attendees out of 80 registered individuals (an 87.5% attendance rate), consisting of computer engineering faculty along with advanced pre-service teachers and recent graduates from educational informatics degree programs. Data collection combined template repository telemetry metrics, continuous integration execution logs on GitHub Actions, and structured qualitative field observation notes. Findings showed majority participation in the decoupled web questionnaire; however, only 1 of the 70 participants autonomously completed the continuous integration pipeline during the workshop. This outcome highlights a pronounced technical tooling gap associated with the operational friction of command-line version control tools. The main limitation lies in the exploratory nature of the study and the absence of standardized baseline measurements. We conclude that the architecture establishes viable operational foundations to guide AI toward supervised formative assistance, though accessible visual interfaces are essential for widespread faculty adoption.</w:t>
      </w:r>
    </w:p>
    <w:p>
      <w:pPr>
        <w:spacing w:line="240" w:lineRule="auto" w:after="120" w:before="0"/>
      </w:pPr>
      <w:r>
        <w:rPr>
          <w:rFonts w:ascii="Times New Roman" w:hAnsi="Times New Roman"/>
          <w:b/>
          <w:sz w:val="24"/>
        </w:rPr>
        <w:t>Keywords:</w:t>
      </w:r>
      <w:r>
        <w:rPr>
          <w:rFonts w:ascii="Times New Roman" w:hAnsi="Times New Roman"/>
          <w:sz w:val="24"/>
        </w:rPr>
        <w:t xml:space="preserve"> Formative assessment, Artificial intelligence agents, Model Context Protocol (MCP), Teacher training, Computer science education.</w:t>
      </w:r>
    </w:p>
    <w:p>
      <w:pPr>
        <w:spacing w:before="280" w:after="120"/>
        <w:jc w:val="center"/>
      </w:pPr>
      <w:r>
        <w:rPr>
          <w:rFonts w:ascii="Times New Roman" w:hAnsi="Times New Roman"/>
          <w:b/>
          <w:sz w:val="24"/>
        </w:rPr>
        <w:t>1. INTRODUCCIÓN</w:t>
      </w:r>
    </w:p>
    <w:p>
      <w:pPr>
        <w:spacing w:line="240" w:lineRule="auto" w:after="120" w:before="0"/>
      </w:pPr>
      <w:r>
        <w:rPr>
          <w:rFonts w:ascii="Times New Roman" w:hAnsi="Times New Roman"/>
          <w:sz w:val="24"/>
        </w:rPr>
        <w:t>La masificación de los Modelos de Lenguaje de Gran Escala (LLM, por sus siglas en inglés) ha producido cambios sustanciales en la educación superior, con repercusiones inmediatas en las carreras de Ciencias de la Computación e Ingeniería en Informática (Becker et al., 2023; Denny et al., 2024). La capacidad demostrada por estos modelos para generar código sintáctica y semánticamente funcional, resolver problemas algorítmicos introductorios y explicar errores de depuración ha tensionado los esquemas tradicionales de evaluación sumativa basados en entregas asincrónicas de código fuente sin supervisión de procesos (Finnie-Ansley et al., 2022).</w:t>
      </w:r>
    </w:p>
    <w:p>
      <w:pPr>
        <w:spacing w:line="240" w:lineRule="auto" w:after="120" w:before="0"/>
      </w:pPr>
      <w:r>
        <w:rPr>
          <w:rFonts w:ascii="Times New Roman" w:hAnsi="Times New Roman"/>
          <w:sz w:val="24"/>
        </w:rPr>
        <w:t>Frente a esta situación, se observan dos respuestas institucionales contrastantes en el ámbito universitario. Por una parte, posturas restrictivas han procurado limitar el uso de herramientas generativas mediante normativas punitivas o el regreso exclusivo a exámenes manuscritos presenciales; tales medidas resultan de difícil sostenimiento práctico, distancian la formación académica de las prácticas profesionales contemporáneas de la ingeniería de software y no garantizan el desarrollo del pensamiento crítico (Denny et al., 2024). Por otra parte, aproximaciones de adopción informal han promovido la interacción libre mediante interfaces de chat comercial (</w:t>
      </w:r>
      <w:r>
        <w:rPr>
          <w:rFonts w:ascii="Times New Roman" w:hAnsi="Times New Roman"/>
          <w:i/>
          <w:sz w:val="24"/>
        </w:rPr>
        <w:t>prompts zero-shot</w:t>
      </w:r>
      <w:r>
        <w:rPr>
          <w:rFonts w:ascii="Times New Roman" w:hAnsi="Times New Roman"/>
          <w:sz w:val="24"/>
        </w:rPr>
        <w:t>), introduciendo riesgos asociados con la generación de afirmaciones técnicas inexactas (alucinaciones), la variabilidad de criterios evaluativos, la falta de reproducibilidad y una delegación no supervisada del juicio pedagógico en sistemas propietarios (Lau &amp; Guo, 2023).</w:t>
      </w:r>
    </w:p>
    <w:p>
      <w:pPr>
        <w:spacing w:line="240" w:lineRule="auto" w:after="120" w:before="0"/>
      </w:pPr>
      <w:r>
        <w:rPr>
          <w:rFonts w:ascii="Times New Roman" w:hAnsi="Times New Roman"/>
          <w:sz w:val="24"/>
        </w:rPr>
        <w:t>En la didáctica de la programación, la evaluación continua y formativa busca proporcionar retroalimentación (</w:t>
      </w:r>
      <w:r>
        <w:rPr>
          <w:rFonts w:ascii="Times New Roman" w:hAnsi="Times New Roman"/>
          <w:i/>
          <w:sz w:val="24"/>
        </w:rPr>
        <w:t>feedback</w:t>
      </w:r>
      <w:r>
        <w:rPr>
          <w:rFonts w:ascii="Times New Roman" w:hAnsi="Times New Roman"/>
          <w:sz w:val="24"/>
        </w:rPr>
        <w:t>) accionable, dialógica y andamiada que permita a los estudiantes identificar modelos mentales erróneos y refactorizar sus soluciones algorítmicas de manera iterativa (Black &amp; Wiliam, 1998; Shute, 2008). No obstante, en comisiones universitarias numerosas, la revisión exhaustiva y personalizada de entregas individuales impone una carga horaria que suele sobrepasar la disponibilidad del cuerpo docente.</w:t>
      </w:r>
    </w:p>
    <w:p>
      <w:pPr>
        <w:spacing w:line="240" w:lineRule="auto" w:after="120" w:before="0"/>
      </w:pPr>
      <w:r>
        <w:rPr>
          <w:rFonts w:ascii="Times New Roman" w:hAnsi="Times New Roman"/>
          <w:sz w:val="24"/>
        </w:rPr>
        <w:t>La emergencia de agentes de inteligencia artificial y la reciente formalización del Protocolo de Contexto de Modelo (</w:t>
      </w:r>
      <w:r>
        <w:rPr>
          <w:rFonts w:ascii="Times New Roman" w:hAnsi="Times New Roman"/>
          <w:i/>
          <w:sz w:val="24"/>
        </w:rPr>
        <w:t>Model Context Protocol</w:t>
      </w:r>
      <w:r>
        <w:rPr>
          <w:rFonts w:ascii="Times New Roman" w:hAnsi="Times New Roman"/>
          <w:sz w:val="24"/>
        </w:rPr>
        <w:t xml:space="preserve"> - MCP) ofrecen nuevas oportunidades para abordar este dilema (Anthropic, 2024). MCP es un estándar abierto de comunicación que permite estructurar la interoperabilidad entre modelos de razonamiento y fuentes externas de datos o herramientas locales (sistemas de archivos, analizadores estáticos o motores de pruebas). Esta característica técnica permite que un agente explore un entorno de desarrollo de forma estandarizada. Sin embargo, el protocolo por sí solo no garantiza pertinencia didáctica ni seguridad operativa si no está mediado por principios de Desarrollo Guiado por Especificaciones (</w:t>
      </w:r>
      <w:r>
        <w:rPr>
          <w:rFonts w:ascii="Times New Roman" w:hAnsi="Times New Roman"/>
          <w:i/>
          <w:sz w:val="24"/>
        </w:rPr>
        <w:t>Spec-Driven Development</w:t>
      </w:r>
      <w:r>
        <w:rPr>
          <w:rFonts w:ascii="Times New Roman" w:hAnsi="Times New Roman"/>
          <w:sz w:val="24"/>
        </w:rPr>
        <w:t xml:space="preserve"> - SDD) y por una gobernanza estricta basada en el principio de supervisión docente activa (</w:t>
      </w:r>
      <w:r>
        <w:rPr>
          <w:rFonts w:ascii="Times New Roman" w:hAnsi="Times New Roman"/>
          <w:i/>
          <w:sz w:val="24"/>
        </w:rPr>
        <w:t>Human-in-the-Loop</w:t>
      </w:r>
      <w:r>
        <w:rPr>
          <w:rFonts w:ascii="Times New Roman" w:hAnsi="Times New Roman"/>
          <w:sz w:val="24"/>
        </w:rPr>
        <w:t xml:space="preserve"> - HITL).</w:t>
      </w:r>
    </w:p>
    <w:p>
      <w:pPr>
        <w:spacing w:line="240" w:lineRule="auto" w:after="120" w:before="0"/>
      </w:pPr>
      <w:r>
        <w:rPr>
          <w:rFonts w:ascii="Times New Roman" w:hAnsi="Times New Roman"/>
          <w:sz w:val="24"/>
        </w:rPr>
        <w:t xml:space="preserve">A partir de este contexto, el presente estudio se planteó como objetivo general: </w:t>
      </w:r>
      <w:r>
        <w:rPr>
          <w:rFonts w:ascii="Times New Roman" w:hAnsi="Times New Roman"/>
          <w:b/>
          <w:sz w:val="24"/>
        </w:rPr>
        <w:t>diseñar, implementar y evaluar preliminarmente una arquitectura sociotécnica basada en MCP y supervisión docente activa para asistir la evaluación continua en asignaturas universitarias de programación, así como analizar las condiciones de transferibilidad de dicha propuesta en una experiencia de formación docente</w:t>
      </w:r>
      <w:r>
        <w:rPr>
          <w:rFonts w:ascii="Times New Roman" w:hAnsi="Times New Roman"/>
          <w:sz w:val="24"/>
        </w:rPr>
        <w:t>.</w:t>
      </w:r>
    </w:p>
    <w:p>
      <w:pPr>
        <w:spacing w:line="240" w:lineRule="auto" w:after="120" w:before="0"/>
      </w:pPr>
      <w:r>
        <w:rPr>
          <w:rFonts w:ascii="Times New Roman" w:hAnsi="Times New Roman"/>
          <w:sz w:val="24"/>
        </w:rPr>
        <w:t>Para orientar la investigación, se definieron tres preguntas de investigación:</w:t>
      </w:r>
    </w:p>
    <w:p>
      <w:pPr>
        <w:spacing w:line="240" w:lineRule="auto" w:after="120" w:before="0"/>
      </w:pPr>
      <w:r>
        <w:rPr>
          <w:rFonts w:ascii="Times New Roman" w:hAnsi="Times New Roman"/>
          <w:sz w:val="24"/>
        </w:rPr>
        <w:t xml:space="preserve">- </w:t>
      </w:r>
      <w:r>
        <w:rPr>
          <w:rFonts w:ascii="Times New Roman" w:hAnsi="Times New Roman"/>
          <w:b/>
          <w:sz w:val="24"/>
        </w:rPr>
        <w:t>PI1:</w:t>
      </w:r>
      <w:r>
        <w:rPr>
          <w:rFonts w:ascii="Times New Roman" w:hAnsi="Times New Roman"/>
          <w:sz w:val="24"/>
        </w:rPr>
        <w:t xml:space="preserve"> ¿Qué componentes técnicos y pedagógicos requiere una arquitectura basada en MCP para estructurar un proceso auditable de evaluación continua asistida por agentes?</w:t>
      </w:r>
    </w:p>
    <w:p>
      <w:pPr>
        <w:spacing w:line="240" w:lineRule="auto" w:after="120" w:before="0"/>
      </w:pPr>
      <w:r>
        <w:rPr>
          <w:rFonts w:ascii="Times New Roman" w:hAnsi="Times New Roman"/>
          <w:sz w:val="24"/>
        </w:rPr>
        <w:t xml:space="preserve">- </w:t>
      </w:r>
      <w:r>
        <w:rPr>
          <w:rFonts w:ascii="Times New Roman" w:hAnsi="Times New Roman"/>
          <w:b/>
          <w:sz w:val="24"/>
        </w:rPr>
        <w:t>PI2:</w:t>
      </w:r>
      <w:r>
        <w:rPr>
          <w:rFonts w:ascii="Times New Roman" w:hAnsi="Times New Roman"/>
          <w:sz w:val="24"/>
        </w:rPr>
        <w:t xml:space="preserve"> ¿Qué nivel de adopción instrumental y técnica alcanzan los participantes al interactuar con una plantilla basada en integración continua y agentes durante un taller de formación docente?</w:t>
      </w:r>
    </w:p>
    <w:p>
      <w:pPr>
        <w:spacing w:line="240" w:lineRule="auto" w:after="120" w:before="0"/>
      </w:pPr>
      <w:r>
        <w:rPr>
          <w:rFonts w:ascii="Times New Roman" w:hAnsi="Times New Roman"/>
          <w:sz w:val="24"/>
        </w:rPr>
        <w:t xml:space="preserve">- </w:t>
      </w:r>
      <w:r>
        <w:rPr>
          <w:rFonts w:ascii="Times New Roman" w:hAnsi="Times New Roman"/>
          <w:b/>
          <w:sz w:val="24"/>
        </w:rPr>
        <w:t>PI3:</w:t>
      </w:r>
      <w:r>
        <w:rPr>
          <w:rFonts w:ascii="Times New Roman" w:hAnsi="Times New Roman"/>
          <w:sz w:val="24"/>
        </w:rPr>
        <w:t xml:space="preserve"> ¿Qué barreras técnicas y pedagógicas emergen durante la interacción de los docentes con dicha infraestructura y qué andamiajes resultan pertinentes para mitigarlas?</w:t>
      </w:r>
    </w:p>
    <w:p>
      <w:pPr>
        <w:spacing w:before="280" w:after="120"/>
        <w:jc w:val="center"/>
      </w:pPr>
      <w:r>
        <w:rPr>
          <w:rFonts w:ascii="Times New Roman" w:hAnsi="Times New Roman"/>
          <w:b/>
          <w:sz w:val="24"/>
        </w:rPr>
        <w:t>2. MÉTODOS</w:t>
      </w:r>
    </w:p>
    <w:p>
      <w:pPr>
        <w:spacing w:before="200" w:after="80"/>
        <w:jc w:val="left"/>
      </w:pPr>
      <w:r>
        <w:rPr>
          <w:rFonts w:ascii="Times New Roman" w:hAnsi="Times New Roman"/>
          <w:b/>
          <w:sz w:val="24"/>
        </w:rPr>
        <w:t>2.1. Diseño de investigación</w:t>
      </w:r>
    </w:p>
    <w:p>
      <w:pPr>
        <w:spacing w:line="240" w:lineRule="auto" w:after="120" w:before="0"/>
      </w:pPr>
      <w:r>
        <w:rPr>
          <w:rFonts w:ascii="Times New Roman" w:hAnsi="Times New Roman"/>
          <w:sz w:val="24"/>
        </w:rPr>
        <w:t xml:space="preserve">El estudio adoptó un enfoque de </w:t>
      </w:r>
      <w:r>
        <w:rPr>
          <w:rFonts w:ascii="Times New Roman" w:hAnsi="Times New Roman"/>
          <w:b/>
          <w:sz w:val="24"/>
        </w:rPr>
        <w:t>Investigación Basada en el Diseño</w:t>
      </w:r>
      <w:r>
        <w:rPr>
          <w:rFonts w:ascii="Times New Roman" w:hAnsi="Times New Roman"/>
          <w:sz w:val="24"/>
        </w:rPr>
        <w:t xml:space="preserve"> (</w:t>
      </w:r>
      <w:r>
        <w:rPr>
          <w:rFonts w:ascii="Times New Roman" w:hAnsi="Times New Roman"/>
          <w:i/>
          <w:sz w:val="24"/>
        </w:rPr>
        <w:t>Design-Based Research</w:t>
      </w:r>
      <w:r>
        <w:rPr>
          <w:rFonts w:ascii="Times New Roman" w:hAnsi="Times New Roman"/>
          <w:sz w:val="24"/>
        </w:rPr>
        <w:t xml:space="preserve"> - DBR) (Wang &amp; Hannafin, 2005), de carácter descriptivo y exploratorio. Este marco metodológico es idóneo para la ingeniería educativa debido a su estructura iterativa de ciclos de análisis de necesidades, diseño colaborativo de intervenciones sociotécnicas, implementación en contextos educativos reales y refinamiento de principios teóricos y artefactos prácticos.</w:t>
      </w:r>
    </w:p>
    <w:p>
      <w:pPr>
        <w:spacing w:line="240" w:lineRule="auto" w:after="120" w:before="0"/>
      </w:pPr>
      <w:r>
        <w:rPr>
          <w:rFonts w:ascii="Times New Roman" w:hAnsi="Times New Roman"/>
          <w:sz w:val="24"/>
        </w:rPr>
        <w:t xml:space="preserve">La lógica iterativa propia de la DBR se materializó en el refinamiento progresivo de los artefactos entre las fases. Las dificultades identificadas durante el pilotaje curricular permitieron ajustar las restricciones de </w:t>
      </w:r>
      <w:r>
        <w:rPr>
          <w:rFonts w:ascii="Consolas" w:hAnsi="Consolas"/>
          <w:sz w:val="21"/>
        </w:rPr>
        <w:t>AGENTS.md</w:t>
      </w:r>
      <w:r>
        <w:rPr>
          <w:rFonts w:ascii="Times New Roman" w:hAnsi="Times New Roman"/>
          <w:sz w:val="24"/>
        </w:rPr>
        <w:t>, reorganizar las rúbricas y simplificar las plantillas utilizadas posteriormente en el taller. La experiencia de transferencia constituyó, a su vez, una nueva instancia de evaluación del diseño, cuyos resultados fundamentan el desarrollo futuro de interfaces gráficas y rutas de adopción diferenciadas.</w:t>
      </w:r>
    </w:p>
    <w:p>
      <w:pPr>
        <w:spacing w:before="200" w:after="80"/>
        <w:jc w:val="left"/>
      </w:pPr>
      <w:r>
        <w:rPr>
          <w:rFonts w:ascii="Times New Roman" w:hAnsi="Times New Roman"/>
          <w:b/>
          <w:sz w:val="24"/>
        </w:rPr>
        <w:t>2.2. Contexto y fases del estudio</w:t>
      </w:r>
    </w:p>
    <w:p>
      <w:pPr>
        <w:spacing w:line="240" w:lineRule="auto" w:after="120" w:before="0"/>
      </w:pPr>
      <w:r>
        <w:rPr>
          <w:rFonts w:ascii="Times New Roman" w:hAnsi="Times New Roman"/>
          <w:sz w:val="24"/>
        </w:rPr>
        <w:t>La investigación se desarrolló durante el ciclo lectivo 2026 en el marco de un proyecto de investigación acreditado institucionalmente, articulado en tres fases sucesivas:</w:t>
      </w:r>
    </w:p>
    <w:p>
      <w:pPr>
        <w:spacing w:line="240" w:lineRule="auto" w:after="120" w:before="0"/>
      </w:pPr>
      <w:r>
        <w:rPr>
          <w:rFonts w:ascii="Times New Roman" w:hAnsi="Times New Roman"/>
          <w:sz w:val="24"/>
        </w:rPr>
        <w:t xml:space="preserve">1. </w:t>
      </w:r>
      <w:r>
        <w:rPr>
          <w:rFonts w:ascii="Times New Roman" w:hAnsi="Times New Roman"/>
          <w:b/>
          <w:sz w:val="24"/>
        </w:rPr>
        <w:t>Fase 1: Diseño de la arquitectura y artefactos (marzo - mayo de 2026):</w:t>
      </w:r>
      <w:r>
        <w:rPr>
          <w:rFonts w:ascii="Times New Roman" w:hAnsi="Times New Roman"/>
          <w:sz w:val="24"/>
        </w:rPr>
        <w:t xml:space="preserve"> Definición de la estructura de tres capas, formalización de directivas en archivos de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rediseño de rúbricas analíticas matriciales y especificación de habilidades docentes estandarizadas para el análisis de código fuente.</w:t>
      </w:r>
    </w:p>
    <w:p>
      <w:pPr>
        <w:spacing w:line="240" w:lineRule="auto" w:after="120" w:before="0"/>
      </w:pPr>
      <w:r>
        <w:rPr>
          <w:rFonts w:ascii="Times New Roman" w:hAnsi="Times New Roman"/>
          <w:sz w:val="24"/>
        </w:rPr>
        <w:t xml:space="preserve">2. </w:t>
      </w:r>
      <w:r>
        <w:rPr>
          <w:rFonts w:ascii="Times New Roman" w:hAnsi="Times New Roman"/>
          <w:b/>
          <w:sz w:val="24"/>
        </w:rPr>
        <w:t>Fase 2: Pilotaje curricular preliminar (junio - agosto de 2026):</w:t>
      </w:r>
      <w:r>
        <w:rPr>
          <w:rFonts w:ascii="Times New Roman" w:hAnsi="Times New Roman"/>
          <w:sz w:val="24"/>
        </w:rPr>
        <w:t xml:space="preserve"> Aplicación exploratoria de la arquitectura en dos cursos de programación de una institución universitaria privada: </w:t>
      </w:r>
      <w:r>
        <w:rPr>
          <w:rFonts w:ascii="Times New Roman" w:hAnsi="Times New Roman"/>
          <w:i/>
          <w:sz w:val="24"/>
        </w:rPr>
        <w:t>Programación II</w:t>
      </w:r>
      <w:r>
        <w:rPr>
          <w:rFonts w:ascii="Times New Roman" w:hAnsi="Times New Roman"/>
          <w:sz w:val="24"/>
        </w:rPr>
        <w:t xml:space="preserve"> (3° año de Ingeniería en Informática, orientada a desarrollo web con HTML semántico, CSS y JavaScript) y </w:t>
      </w:r>
      <w:r>
        <w:rPr>
          <w:rFonts w:ascii="Times New Roman" w:hAnsi="Times New Roman"/>
          <w:i/>
          <w:sz w:val="24"/>
        </w:rPr>
        <w:t>Algoritmos y Programación</w:t>
      </w:r>
      <w:r>
        <w:rPr>
          <w:rFonts w:ascii="Times New Roman" w:hAnsi="Times New Roman"/>
          <w:sz w:val="24"/>
        </w:rPr>
        <w:t xml:space="preserve"> (1° año de Ingeniería en Informática, orientada a modularización algorítmica y arreglos en C++). En esta fase se utilizaron los agentes para generar borradores periciales de prediagnóstico técnico sobre tareas prácticas, los cuales fueron supervisados por el equipo docente a cargo antes de interactuar con los estudiantes. Asimismo, se adaptaron recursos de apoyo complementarios en áreas de sistemas operativos y estructuras de datos para ensayar la versatilidad de las especificaciones.</w:t>
      </w:r>
    </w:p>
    <w:p>
      <w:pPr>
        <w:spacing w:line="240" w:lineRule="auto" w:after="120" w:before="0"/>
      </w:pPr>
      <w:r>
        <w:rPr>
          <w:rFonts w:ascii="Times New Roman" w:hAnsi="Times New Roman"/>
          <w:sz w:val="24"/>
        </w:rPr>
        <w:t xml:space="preserve">3. </w:t>
      </w:r>
      <w:r>
        <w:rPr>
          <w:rFonts w:ascii="Times New Roman" w:hAnsi="Times New Roman"/>
          <w:b/>
          <w:sz w:val="24"/>
        </w:rPr>
        <w:t>Fase 3: Transferencia formativa y estudio de adopción (octubre de 2026):</w:t>
      </w:r>
      <w:r>
        <w:rPr>
          <w:rFonts w:ascii="Times New Roman" w:hAnsi="Times New Roman"/>
          <w:sz w:val="24"/>
        </w:rPr>
        <w:t xml:space="preserve"> Diseño y dictado de un taller intensivo de capacitación docente de diez horas reloj presenciales/sincrónicas orientado a profesores universitarios y estudiantes avanzados en formación docente.</w:t>
      </w:r>
    </w:p>
    <w:p>
      <w:pPr>
        <w:spacing w:before="200" w:after="80"/>
        <w:jc w:val="left"/>
      </w:pPr>
      <w:r>
        <w:rPr>
          <w:rFonts w:ascii="Times New Roman" w:hAnsi="Times New Roman"/>
          <w:b/>
          <w:sz w:val="24"/>
        </w:rPr>
        <w:t>2.3. Participantes</w:t>
      </w:r>
    </w:p>
    <w:p>
      <w:pPr>
        <w:spacing w:line="240" w:lineRule="auto" w:after="120" w:before="0"/>
      </w:pPr>
      <w:r>
        <w:rPr>
          <w:rFonts w:ascii="Times New Roman" w:hAnsi="Times New Roman"/>
          <w:sz w:val="24"/>
        </w:rPr>
        <w:t>La convocatoria al taller de capacitación fue abierta, institucional y de carácter voluntario. Se registraron 80 personas inscriptas, de las cuales 70 asistieron activamente a las sesiones de trabajo, lo que representó una tasa de asistencia del 87,5 %.</w:t>
      </w:r>
    </w:p>
    <w:p>
      <w:pPr>
        <w:spacing w:line="240" w:lineRule="auto" w:after="120" w:before="0"/>
      </w:pPr>
      <w:r>
        <w:rPr>
          <w:rFonts w:ascii="Times New Roman" w:hAnsi="Times New Roman"/>
          <w:sz w:val="24"/>
        </w:rPr>
        <w:t>La muestra estuvo integrada por dos grupos diferenciados:</w:t>
      </w:r>
    </w:p>
    <w:p>
      <w:pPr>
        <w:spacing w:line="240" w:lineRule="auto" w:after="120" w:before="0"/>
      </w:pPr>
      <w:r>
        <w:rPr>
          <w:rFonts w:ascii="Times New Roman" w:hAnsi="Times New Roman"/>
          <w:sz w:val="24"/>
        </w:rPr>
        <w:t xml:space="preserve">- </w:t>
      </w:r>
      <w:r>
        <w:rPr>
          <w:rFonts w:ascii="Times New Roman" w:hAnsi="Times New Roman"/>
          <w:b/>
          <w:sz w:val="24"/>
        </w:rPr>
        <w:t>Grupo 1 (Docentes universitarios en ejercicio):</w:t>
      </w:r>
      <w:r>
        <w:rPr>
          <w:rFonts w:ascii="Times New Roman" w:hAnsi="Times New Roman"/>
          <w:sz w:val="24"/>
        </w:rPr>
        <w:t xml:space="preserve"> Profesores y auxiliares de cátedras del área de informática y computación pertenecientes a una universidad de gestión privada de la región (n = 28; 40,0 % de los asistentes).</w:t>
      </w:r>
    </w:p>
    <w:p>
      <w:pPr>
        <w:spacing w:line="240" w:lineRule="auto" w:after="120" w:before="0"/>
      </w:pPr>
      <w:r>
        <w:rPr>
          <w:rFonts w:ascii="Times New Roman" w:hAnsi="Times New Roman"/>
          <w:sz w:val="24"/>
        </w:rPr>
        <w:t xml:space="preserve">- </w:t>
      </w:r>
      <w:r>
        <w:rPr>
          <w:rFonts w:ascii="Times New Roman" w:hAnsi="Times New Roman"/>
          <w:b/>
          <w:sz w:val="24"/>
        </w:rPr>
        <w:t>Grupo 2 (Formadores en informática en etapa de graduación):</w:t>
      </w:r>
      <w:r>
        <w:rPr>
          <w:rFonts w:ascii="Times New Roman" w:hAnsi="Times New Roman"/>
          <w:sz w:val="24"/>
        </w:rPr>
        <w:t xml:space="preserve"> Estudiantes avanzados de los dos últimos años y graduados recientes de las carreras de Profesorado Universitario en Informática y Licenciatura en Informática Educativa pertenecientes a una universidad nacional pública de la misma región geográfica (n = 42; 60,0 % de los asistentes).</w:t>
      </w:r>
    </w:p>
    <w:p>
      <w:pPr>
        <w:spacing w:line="240" w:lineRule="auto" w:after="120" w:before="0"/>
      </w:pPr>
      <w:r>
        <w:rPr>
          <w:rFonts w:ascii="Times New Roman" w:hAnsi="Times New Roman"/>
          <w:sz w:val="24"/>
        </w:rPr>
        <w:t>No se aplicaron pruebas diagnósticas previas estandarizadas de dominio en herramientas de control de versiones (Git/CLI) o interfaces de agentes, registrándose durante las sesiones una marcada heterogeneidad en las competencias instrumentales de partida.</w:t>
      </w:r>
    </w:p>
    <w:p>
      <w:pPr>
        <w:spacing w:before="200" w:after="80"/>
        <w:jc w:val="left"/>
      </w:pPr>
      <w:r>
        <w:rPr>
          <w:rFonts w:ascii="Times New Roman" w:hAnsi="Times New Roman"/>
          <w:b/>
          <w:sz w:val="24"/>
        </w:rPr>
        <w:t>2.4. Arquitectura sociotécnica e instrumentos</w:t>
      </w:r>
    </w:p>
    <w:p>
      <w:pPr>
        <w:spacing w:line="240" w:lineRule="auto" w:after="120" w:before="0"/>
      </w:pPr>
      <w:r>
        <w:rPr>
          <w:rFonts w:ascii="Times New Roman" w:hAnsi="Times New Roman"/>
          <w:sz w:val="24"/>
        </w:rPr>
        <w:t>La arquitectura desarrollada desacopla la inteligencia generativa de la lógica pedagógica mediante tres capas operativas:</w:t>
      </w:r>
    </w:p>
    <w:p>
      <w:pPr>
        <w:spacing w:line="240" w:lineRule="auto" w:before="240" w:after="40"/>
      </w:pPr>
      <w:r>
        <w:rPr>
          <w:rFonts w:ascii="Times New Roman" w:hAnsi="Times New Roman"/>
          <w:b/>
          <w:sz w:val="24"/>
        </w:rPr>
        <w:t>Figura 1</w:t>
      </w:r>
    </w:p>
    <w:p>
      <w:pPr>
        <w:spacing w:line="240" w:lineRule="auto" w:before="0" w:after="120"/>
      </w:pPr>
      <w:r>
        <w:rPr>
          <w:rFonts w:ascii="Times New Roman" w:hAnsi="Times New Roman"/>
          <w:i/>
          <w:sz w:val="24"/>
        </w:rPr>
        <w:t>Arquitectura sociotécnica de tres capas para la evaluación continua asistida por agentes</w:t>
      </w:r>
    </w:p>
    <w:p>
      <w:pPr>
        <w:spacing w:before="120" w:after="120"/>
        <w:jc w:val="center"/>
      </w:pPr>
      <w:r>
        <w:drawing>
          <wp:inline xmlns:a="http://schemas.openxmlformats.org/drawingml/2006/main" xmlns:pic="http://schemas.openxmlformats.org/drawingml/2006/picture">
            <wp:extent cx="5472000" cy="3830400"/>
            <wp:docPr id="1" name="Picture 1"/>
            <wp:cNvGraphicFramePr>
              <a:graphicFrameLocks noChangeAspect="1"/>
            </wp:cNvGraphicFramePr>
            <a:graphic>
              <a:graphicData uri="http://schemas.openxmlformats.org/drawingml/2006/picture">
                <pic:pic>
                  <pic:nvPicPr>
                    <pic:cNvPr id="0" name="Figura_1_Arquitectura_MCP_HITL.png"/>
                    <pic:cNvPicPr/>
                  </pic:nvPicPr>
                  <pic:blipFill>
                    <a:blip r:embed="rId9"/>
                    <a:stretch>
                      <a:fillRect/>
                    </a:stretch>
                  </pic:blipFill>
                  <pic:spPr>
                    <a:xfrm>
                      <a:off x="0" y="0"/>
                      <a:ext cx="5472000" cy="3830400"/>
                    </a:xfrm>
                    <a:prstGeom prst="rect"/>
                  </pic:spPr>
                </pic:pic>
              </a:graphicData>
            </a:graphic>
          </wp:inline>
        </w:drawing>
      </w:r>
    </w:p>
    <w:p>
      <w:pPr>
        <w:spacing w:line="240" w:lineRule="auto" w:before="60" w:after="240"/>
      </w:pPr>
      <w:r>
        <w:rPr>
          <w:rFonts w:ascii="Times New Roman" w:hAnsi="Times New Roman"/>
          <w:i/>
          <w:sz w:val="20"/>
        </w:rPr>
        <w:t>Nota.</w:t>
      </w:r>
      <w:r>
        <w:rPr>
          <w:rFonts w:ascii="Times New Roman" w:hAnsi="Times New Roman"/>
          <w:sz w:val="20"/>
        </w:rPr>
        <w:t xml:space="preserve"> Elaboración propia con base en las directrices del estándar abierto MCP (Anthropic, 2024) y los principios HITL.</w:t>
      </w:r>
    </w:p>
    <w:p>
      <w:pPr>
        <w:spacing w:line="240" w:lineRule="auto" w:after="120" w:before="0"/>
      </w:pPr>
      <w:r>
        <w:rPr>
          <w:rFonts w:ascii="Times New Roman" w:hAnsi="Times New Roman"/>
          <w:sz w:val="24"/>
        </w:rPr>
        <w:t xml:space="preserve">1. </w:t>
      </w:r>
      <w:r>
        <w:rPr>
          <w:rFonts w:ascii="Times New Roman" w:hAnsi="Times New Roman"/>
          <w:b/>
          <w:sz w:val="24"/>
        </w:rPr>
        <w:t>Capa de Gobernanza Contextual:</w:t>
      </w:r>
    </w:p>
    <w:p>
      <w:pPr>
        <w:spacing w:line="240" w:lineRule="auto" w:after="120" w:before="0"/>
      </w:pPr>
      <w:r>
        <w:rPr>
          <w:rFonts w:ascii="Times New Roman" w:hAnsi="Times New Roman"/>
          <w:sz w:val="24"/>
        </w:rPr>
        <w:t xml:space="preserve">- </w:t>
      </w:r>
      <w:r>
        <w:rPr>
          <w:rFonts w:ascii="Consolas" w:hAnsi="Consolas"/>
          <w:sz w:val="21"/>
        </w:rPr>
        <w:t>AGENTS.md</w:t>
      </w:r>
      <w:r>
        <w:rPr>
          <w:rFonts w:ascii="Times New Roman" w:hAnsi="Times New Roman"/>
          <w:sz w:val="24"/>
        </w:rPr>
        <w:t>: Establece el rol pedagógico del agente, estipulando explícitamente el uso de metodologías formativas socráticas, la restricción de proveer soluciones completas o código corregido directamente y la exigencia de asociar cada observación a evidencias verificables en el código.</w:t>
      </w:r>
    </w:p>
    <w:p>
      <w:pPr>
        <w:spacing w:line="240" w:lineRule="auto" w:after="120" w:before="0"/>
      </w:pPr>
      <w:r>
        <w:rPr>
          <w:rFonts w:ascii="Times New Roman" w:hAnsi="Times New Roman"/>
          <w:sz w:val="24"/>
        </w:rPr>
        <w:t xml:space="preserve">- </w:t>
      </w:r>
      <w:r>
        <w:rPr>
          <w:rFonts w:ascii="Consolas" w:hAnsi="Consolas"/>
          <w:sz w:val="21"/>
        </w:rPr>
        <w:t>MEMORY.md</w:t>
      </w:r>
      <w:r>
        <w:rPr>
          <w:rFonts w:ascii="Times New Roman" w:hAnsi="Times New Roman"/>
          <w:sz w:val="24"/>
        </w:rPr>
        <w:t>: Archivo de persistencia de contexto que almacena acuerdos curriculares, restricciones del compilador o estándares de estilo adoptados por la cátedra.</w:t>
      </w:r>
    </w:p>
    <w:p>
      <w:pPr>
        <w:spacing w:line="240" w:lineRule="auto" w:after="120" w:before="0"/>
      </w:pPr>
      <w:r>
        <w:rPr>
          <w:rFonts w:ascii="Times New Roman" w:hAnsi="Times New Roman"/>
          <w:sz w:val="24"/>
        </w:rPr>
        <w:t>- Rúbricas Analíticas en Markdown: Matrices con criterios descriptivos y niveles de desempeño observables.</w:t>
      </w:r>
    </w:p>
    <w:p>
      <w:pPr>
        <w:spacing w:line="240" w:lineRule="auto" w:after="120" w:before="0"/>
      </w:pPr>
      <w:r>
        <w:rPr>
          <w:rFonts w:ascii="Times New Roman" w:hAnsi="Times New Roman"/>
          <w:sz w:val="24"/>
        </w:rPr>
        <w:t>- Habilidades Docentes (</w:t>
      </w:r>
      <w:r>
        <w:rPr>
          <w:rFonts w:ascii="Times New Roman" w:hAnsi="Times New Roman"/>
          <w:i/>
          <w:sz w:val="24"/>
        </w:rPr>
        <w:t>Skills</w:t>
      </w:r>
      <w:r>
        <w:rPr>
          <w:rFonts w:ascii="Times New Roman" w:hAnsi="Times New Roman"/>
          <w:sz w:val="24"/>
        </w:rPr>
        <w:t>): Archivos de instrucciones operativas con metadatos YAML (</w:t>
      </w:r>
      <w:r>
        <w:rPr>
          <w:rFonts w:ascii="Times New Roman" w:hAnsi="Times New Roman"/>
          <w:i/>
          <w:sz w:val="24"/>
        </w:rPr>
        <w:t>frontmatter</w:t>
      </w:r>
      <w:r>
        <w:rPr>
          <w:rFonts w:ascii="Times New Roman" w:hAnsi="Times New Roman"/>
          <w:sz w:val="24"/>
        </w:rPr>
        <w:t>), delimitadores de secciones (</w:t>
      </w:r>
      <w:r>
        <w:rPr>
          <w:rFonts w:ascii="Consolas" w:hAnsi="Consolas"/>
          <w:sz w:val="21"/>
        </w:rPr>
        <w:t>&lt;contexto&gt;</w:t>
      </w:r>
      <w:r>
        <w:rPr>
          <w:rFonts w:ascii="Times New Roman" w:hAnsi="Times New Roman"/>
          <w:sz w:val="24"/>
        </w:rPr>
        <w:t xml:space="preserve">, </w:t>
      </w:r>
      <w:r>
        <w:rPr>
          <w:rFonts w:ascii="Consolas" w:hAnsi="Consolas"/>
          <w:sz w:val="21"/>
        </w:rPr>
        <w:t>&lt;restricciones&gt;</w:t>
      </w:r>
      <w:r>
        <w:rPr>
          <w:rFonts w:ascii="Times New Roman" w:hAnsi="Times New Roman"/>
          <w:sz w:val="24"/>
        </w:rPr>
        <w:t xml:space="preserve">, </w:t>
      </w:r>
      <w:r>
        <w:rPr>
          <w:rFonts w:ascii="Consolas" w:hAnsi="Consolas"/>
          <w:sz w:val="21"/>
        </w:rPr>
        <w:t>&lt;procedimiento&gt;</w:t>
      </w:r>
      <w:r>
        <w:rPr>
          <w:rFonts w:ascii="Times New Roman" w:hAnsi="Times New Roman"/>
          <w:sz w:val="24"/>
        </w:rPr>
        <w:t>) y esquemas de salida estructurada.</w:t>
      </w:r>
    </w:p>
    <w:p>
      <w:pPr>
        <w:spacing w:line="240" w:lineRule="auto" w:after="120" w:before="0"/>
      </w:pPr>
      <w:r>
        <w:rPr>
          <w:rFonts w:ascii="Times New Roman" w:hAnsi="Times New Roman"/>
          <w:sz w:val="24"/>
        </w:rPr>
        <w:t xml:space="preserve">2. </w:t>
      </w:r>
      <w:r>
        <w:rPr>
          <w:rFonts w:ascii="Times New Roman" w:hAnsi="Times New Roman"/>
          <w:b/>
          <w:sz w:val="24"/>
        </w:rPr>
        <w:t>Capa de Interoperabilidad Protocolizada (MCP):</w:t>
      </w:r>
    </w:p>
    <w:p>
      <w:pPr>
        <w:spacing w:line="240" w:lineRule="auto" w:after="120" w:before="0"/>
      </w:pPr>
      <w:r>
        <w:rPr>
          <w:rFonts w:ascii="Times New Roman" w:hAnsi="Times New Roman"/>
          <w:sz w:val="24"/>
        </w:rPr>
        <w:t>Conexión local entre el entorno de desarrollo y un servidor MCP de sistema de archivos (</w:t>
      </w:r>
      <w:r>
        <w:rPr>
          <w:rFonts w:ascii="Times New Roman" w:hAnsi="Times New Roman"/>
          <w:i/>
          <w:sz w:val="24"/>
        </w:rPr>
        <w:t>Filesystem Server</w:t>
      </w:r>
      <w:r>
        <w:rPr>
          <w:rFonts w:ascii="Times New Roman" w:hAnsi="Times New Roman"/>
          <w:sz w:val="24"/>
        </w:rPr>
        <w:t>). La herramienta permite al agente listar directorios y leer archivos de código de forma estandarizada. En términos de seguridad informática, conforme a las directrices de OWASP (2025), la configuración requirió restringir la ejecución a rutas locales aisladas, aplicar privilegios mínimos y establecer listas de directorios permitidos, con el propósito de reducir el riesgo de exposición de credenciales y accesos no autorizados al sistema operativo.</w:t>
      </w:r>
    </w:p>
    <w:p>
      <w:pPr>
        <w:spacing w:line="240" w:lineRule="auto" w:after="120" w:before="0"/>
      </w:pPr>
      <w:r>
        <w:rPr>
          <w:rFonts w:ascii="Times New Roman" w:hAnsi="Times New Roman"/>
          <w:sz w:val="24"/>
        </w:rPr>
        <w:t xml:space="preserve">3. </w:t>
      </w:r>
      <w:r>
        <w:rPr>
          <w:rFonts w:ascii="Times New Roman" w:hAnsi="Times New Roman"/>
          <w:b/>
          <w:sz w:val="24"/>
        </w:rPr>
        <w:t>Capa de Supervisión Docente (*Human-in-the-Loop*):</w:t>
      </w:r>
    </w:p>
    <w:p>
      <w:pPr>
        <w:spacing w:line="240" w:lineRule="auto" w:after="120" w:before="0"/>
      </w:pPr>
      <w:r>
        <w:rPr>
          <w:rFonts w:ascii="Times New Roman" w:hAnsi="Times New Roman"/>
          <w:sz w:val="24"/>
        </w:rPr>
        <w:t>Mecanismo de gobernanza mediante el cual el agente genera únicamente un borrador de prediagnóstico técnico. El docente verifica la existencia de las evidencias citadas, modula el tono comunicacional y aprueba la devolución definitiva.</w:t>
      </w:r>
    </w:p>
    <w:p>
      <w:pPr>
        <w:spacing w:line="240" w:lineRule="auto" w:after="120" w:before="0"/>
      </w:pPr>
      <w:r>
        <w:rPr>
          <w:rFonts w:ascii="Times New Roman" w:hAnsi="Times New Roman"/>
          <w:sz w:val="24"/>
        </w:rPr>
        <w:t>Como instrumentos de transferencia y recolección se diseñaron:</w:t>
      </w:r>
    </w:p>
    <w:p>
      <w:pPr>
        <w:spacing w:line="240" w:lineRule="auto" w:after="120" w:before="0"/>
      </w:pPr>
      <w:r>
        <w:rPr>
          <w:rFonts w:ascii="Times New Roman" w:hAnsi="Times New Roman"/>
          <w:sz w:val="24"/>
        </w:rPr>
        <w:t xml:space="preserve">- </w:t>
      </w:r>
      <w:r>
        <w:rPr>
          <w:rFonts w:ascii="Times New Roman" w:hAnsi="Times New Roman"/>
          <w:b/>
          <w:sz w:val="24"/>
        </w:rPr>
        <w:t>Repositorio Plantilla Abierto:</w:t>
      </w:r>
      <w:r>
        <w:rPr>
          <w:rFonts w:ascii="Times New Roman" w:hAnsi="Times New Roman"/>
          <w:sz w:val="24"/>
        </w:rPr>
        <w:t xml:space="preserve"> Entorno de trabajo estructurado en GitHub conteniendo guías del taller, directorios de referencia, un evaluador automático en Python (</w:t>
      </w:r>
      <w:r>
        <w:rPr>
          <w:rFonts w:ascii="Consolas" w:hAnsi="Consolas"/>
          <w:sz w:val="21"/>
        </w:rPr>
        <w:t>autograder_taller.py</w:t>
      </w:r>
      <w:r>
        <w:rPr>
          <w:rFonts w:ascii="Times New Roman" w:hAnsi="Times New Roman"/>
          <w:sz w:val="24"/>
        </w:rPr>
        <w:t>) y un flujo de trabajo de integración continua en GitHub Actions configurado para una escala de 100 puntos.</w:t>
      </w:r>
    </w:p>
    <w:p>
      <w:pPr>
        <w:spacing w:line="240" w:lineRule="auto" w:after="120" w:before="0"/>
      </w:pPr>
      <w:r>
        <w:rPr>
          <w:rFonts w:ascii="Times New Roman" w:hAnsi="Times New Roman"/>
          <w:sz w:val="24"/>
        </w:rPr>
        <w:t xml:space="preserve">- </w:t>
      </w:r>
      <w:r>
        <w:rPr>
          <w:rFonts w:ascii="Times New Roman" w:hAnsi="Times New Roman"/>
          <w:b/>
          <w:sz w:val="24"/>
        </w:rPr>
        <w:t>Colección de Widgets Interactivos Desacoplados:</w:t>
      </w:r>
      <w:r>
        <w:rPr>
          <w:rFonts w:ascii="Times New Roman" w:hAnsi="Times New Roman"/>
          <w:sz w:val="24"/>
        </w:rPr>
        <w:t xml:space="preserve"> Banco de 35 actividades didácticas implementadas en HTML/CSS/JS autocontenidas en archivos locales, concebidas para ejecutarse directamente en el navegador sin dependencias de consola o servidores.</w:t>
      </w:r>
    </w:p>
    <w:p>
      <w:pPr>
        <w:spacing w:before="200" w:after="80"/>
        <w:jc w:val="left"/>
      </w:pPr>
      <w:r>
        <w:rPr>
          <w:rFonts w:ascii="Times New Roman" w:hAnsi="Times New Roman"/>
          <w:b/>
          <w:sz w:val="24"/>
        </w:rPr>
        <w:t>2.5. Procedimiento del taller</w:t>
      </w:r>
    </w:p>
    <w:p>
      <w:pPr>
        <w:spacing w:line="240" w:lineRule="auto" w:after="120" w:before="0"/>
      </w:pPr>
      <w:r>
        <w:rPr>
          <w:rFonts w:ascii="Times New Roman" w:hAnsi="Times New Roman"/>
          <w:sz w:val="24"/>
        </w:rPr>
        <w:t>El taller se estructuró en dos jornadas consecutivas de cinco horas reloj cada una:</w:t>
      </w:r>
    </w:p>
    <w:p>
      <w:pPr>
        <w:spacing w:line="240" w:lineRule="auto" w:after="120" w:before="0"/>
      </w:pPr>
      <w:r>
        <w:rPr>
          <w:rFonts w:ascii="Times New Roman" w:hAnsi="Times New Roman"/>
          <w:sz w:val="24"/>
        </w:rPr>
        <w:t xml:space="preserve">- </w:t>
      </w:r>
      <w:r>
        <w:rPr>
          <w:rFonts w:ascii="Times New Roman" w:hAnsi="Times New Roman"/>
          <w:b/>
          <w:sz w:val="24"/>
        </w:rPr>
        <w:t>Jornada 1 (Fundamentos y Persistencia):</w:t>
      </w:r>
      <w:r>
        <w:rPr>
          <w:rFonts w:ascii="Times New Roman" w:hAnsi="Times New Roman"/>
          <w:sz w:val="24"/>
        </w:rPr>
        <w:t xml:space="preserve"> Presentación del protocolo MCP, configuración del agente en el entorno de desarrollo, creación de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programa analítico y resolución del cuestionario interactivo de fundamentos (acumulando 60 puntos en el evaluador).</w:t>
      </w:r>
    </w:p>
    <w:p>
      <w:pPr>
        <w:spacing w:line="240" w:lineRule="auto" w:after="120" w:before="0"/>
      </w:pPr>
      <w:r>
        <w:rPr>
          <w:rFonts w:ascii="Times New Roman" w:hAnsi="Times New Roman"/>
          <w:sz w:val="24"/>
        </w:rPr>
        <w:t xml:space="preserve">- </w:t>
      </w:r>
      <w:r>
        <w:rPr>
          <w:rFonts w:ascii="Times New Roman" w:hAnsi="Times New Roman"/>
          <w:b/>
          <w:sz w:val="24"/>
        </w:rPr>
        <w:t>Jornada 2 (Skills Avanzadas y Laboratorio Integrador):</w:t>
      </w:r>
      <w:r>
        <w:rPr>
          <w:rFonts w:ascii="Times New Roman" w:hAnsi="Times New Roman"/>
          <w:sz w:val="24"/>
        </w:rPr>
        <w:t xml:space="preserve"> Construcción guiada del Trabajo Práctico 1 (</w:t>
      </w:r>
      <w:r>
        <w:rPr>
          <w:rFonts w:ascii="Consolas" w:hAnsi="Consolas"/>
          <w:sz w:val="21"/>
        </w:rPr>
        <w:t>rubrica.md</w:t>
      </w:r>
      <w:r>
        <w:rPr>
          <w:rFonts w:ascii="Times New Roman" w:hAnsi="Times New Roman"/>
          <w:sz w:val="24"/>
        </w:rPr>
        <w:t>, 20 puntos) y de la habilidad formal de evaluación (</w:t>
      </w:r>
      <w:r>
        <w:rPr>
          <w:rFonts w:ascii="Consolas" w:hAnsi="Consolas"/>
          <w:sz w:val="21"/>
        </w:rPr>
        <w:t>skill_evaluador.md</w:t>
      </w:r>
      <w:r>
        <w:rPr>
          <w:rFonts w:ascii="Times New Roman" w:hAnsi="Times New Roman"/>
          <w:sz w:val="24"/>
        </w:rPr>
        <w:t>, 20 puntos) utilizando plantillas predefinidas del toolkit docente, finalizando con la verificación de la suite de pruebas local (</w:t>
      </w:r>
      <w:r>
        <w:rPr>
          <w:rFonts w:ascii="Consolas" w:hAnsi="Consolas"/>
          <w:sz w:val="21"/>
        </w:rPr>
        <w:t>python autograder_taller.py</w:t>
      </w:r>
      <w:r>
        <w:rPr>
          <w:rFonts w:ascii="Times New Roman" w:hAnsi="Times New Roman"/>
          <w:sz w:val="24"/>
        </w:rPr>
        <w:t>) y la sincronización con el repositorio remoto.</w:t>
      </w:r>
    </w:p>
    <w:p>
      <w:pPr>
        <w:spacing w:before="200" w:after="80"/>
        <w:jc w:val="left"/>
      </w:pPr>
      <w:r>
        <w:rPr>
          <w:rFonts w:ascii="Times New Roman" w:hAnsi="Times New Roman"/>
          <w:b/>
          <w:sz w:val="24"/>
        </w:rPr>
        <w:t>2.6. Fuentes y análisis de datos</w:t>
      </w:r>
    </w:p>
    <w:p>
      <w:pPr>
        <w:spacing w:line="240" w:lineRule="auto" w:after="120" w:before="0"/>
      </w:pPr>
      <w:r>
        <w:rPr>
          <w:rFonts w:ascii="Times New Roman" w:hAnsi="Times New Roman"/>
          <w:sz w:val="24"/>
        </w:rPr>
        <w:t>Para responder a las preguntas de investigación se triangularon tres fuentes de datos:</w:t>
      </w:r>
    </w:p>
    <w:p>
      <w:pPr>
        <w:spacing w:line="240" w:lineRule="auto" w:after="120" w:before="0"/>
      </w:pPr>
      <w:r>
        <w:rPr>
          <w:rFonts w:ascii="Times New Roman" w:hAnsi="Times New Roman"/>
          <w:sz w:val="24"/>
        </w:rPr>
        <w:t xml:space="preserve">1. </w:t>
      </w:r>
      <w:r>
        <w:rPr>
          <w:rFonts w:ascii="Times New Roman" w:hAnsi="Times New Roman"/>
          <w:b/>
          <w:sz w:val="24"/>
        </w:rPr>
        <w:t>Registros de integración continua y actividad en repositorios:</w:t>
      </w:r>
      <w:r>
        <w:rPr>
          <w:rFonts w:ascii="Times New Roman" w:hAnsi="Times New Roman"/>
          <w:sz w:val="24"/>
        </w:rPr>
        <w:t xml:space="preserve"> Seguimiento de ejecuciones en GitHub Actions y verificación en aula del acceso, clonación y confirmaciones de cambios (</w:t>
      </w:r>
      <w:r>
        <w:rPr>
          <w:rFonts w:ascii="Times New Roman" w:hAnsi="Times New Roman"/>
          <w:i/>
          <w:sz w:val="24"/>
        </w:rPr>
        <w:t>commits</w:t>
      </w:r>
      <w:r>
        <w:rPr>
          <w:rFonts w:ascii="Times New Roman" w:hAnsi="Times New Roman"/>
          <w:sz w:val="24"/>
        </w:rPr>
        <w:t>) generados durante las sesiones sincrónicas.</w:t>
      </w:r>
    </w:p>
    <w:p>
      <w:pPr>
        <w:spacing w:line="240" w:lineRule="auto" w:after="120" w:before="0"/>
      </w:pPr>
      <w:r>
        <w:rPr>
          <w:rFonts w:ascii="Times New Roman" w:hAnsi="Times New Roman"/>
          <w:sz w:val="24"/>
        </w:rPr>
        <w:t xml:space="preserve">2. </w:t>
      </w:r>
      <w:r>
        <w:rPr>
          <w:rFonts w:ascii="Times New Roman" w:hAnsi="Times New Roman"/>
          <w:b/>
          <w:sz w:val="24"/>
        </w:rPr>
        <w:t>Notas de campo estructuradas:</w:t>
      </w:r>
      <w:r>
        <w:rPr>
          <w:rFonts w:ascii="Times New Roman" w:hAnsi="Times New Roman"/>
          <w:sz w:val="24"/>
        </w:rPr>
        <w:t xml:space="preserve"> Registros sistemáticos tomados por el equipo capacitador durante el desarrollo del taller, focalizados en los momentos de bloqueo procedimental, consultas reiteradas y verbalizaciones de los asistentes.</w:t>
      </w:r>
    </w:p>
    <w:p>
      <w:pPr>
        <w:spacing w:line="240" w:lineRule="auto" w:after="120" w:before="0"/>
      </w:pPr>
      <w:r>
        <w:rPr>
          <w:rFonts w:ascii="Times New Roman" w:hAnsi="Times New Roman"/>
          <w:sz w:val="24"/>
        </w:rPr>
        <w:t xml:space="preserve">3. </w:t>
      </w:r>
      <w:r>
        <w:rPr>
          <w:rFonts w:ascii="Times New Roman" w:hAnsi="Times New Roman"/>
          <w:b/>
          <w:sz w:val="24"/>
        </w:rPr>
        <w:t>Registro de consultas e incidencias técnicas:</w:t>
      </w:r>
      <w:r>
        <w:rPr>
          <w:rFonts w:ascii="Times New Roman" w:hAnsi="Times New Roman"/>
          <w:sz w:val="24"/>
        </w:rPr>
        <w:t xml:space="preserve"> Documentación de dudas formuladas durante las instancias prácticas de laboratorio.</w:t>
      </w:r>
    </w:p>
    <w:p>
      <w:pPr>
        <w:spacing w:line="240" w:lineRule="auto" w:after="120" w:before="0"/>
      </w:pPr>
      <w:r>
        <w:rPr>
          <w:rFonts w:ascii="Times New Roman" w:hAnsi="Times New Roman"/>
          <w:sz w:val="24"/>
        </w:rPr>
        <w:t>Para el análisis cuantitativo, la unidad de análisis fue cada participante asistente al taller. Para el análisis cualitativo, la unidad de registro estuvo constituida por cada incidencia, consulta o episodio de bloqueo consignado en las notas de campo.</w:t>
      </w:r>
    </w:p>
    <w:p>
      <w:pPr>
        <w:spacing w:line="240" w:lineRule="auto" w:after="120" w:before="0"/>
      </w:pPr>
      <w:r>
        <w:rPr>
          <w:rFonts w:ascii="Times New Roman" w:hAnsi="Times New Roman"/>
          <w:sz w:val="24"/>
        </w:rPr>
        <w:t>La identificación de avances individuales se gestionó mediante códigos alfanuméricos temporales y hojas de cotejo observacional en el aula, desvinculadas de nombres personales y destruidas tras consolidar las frecuencias agregadas. Las confirmaciones locales y ejecuciones de integración continua se verificaron directamente en los puestos de trabajo sin almacenar credenciales ni identificadores personales persistentes en repositorios públicos.</w:t>
      </w:r>
    </w:p>
    <w:p>
      <w:pPr>
        <w:spacing w:line="240" w:lineRule="auto" w:after="120" w:before="0"/>
      </w:pPr>
      <w:r>
        <w:rPr>
          <w:rFonts w:ascii="Times New Roman" w:hAnsi="Times New Roman"/>
          <w:sz w:val="24"/>
        </w:rPr>
        <w:t>El análisis de los registros cuantitativos fue de carácter descriptivo (frecuencias absolutas y porcentajes). Las notas de campo y las consultas se sometieron a un análisis temático cualitativo mediante codificación inductiva abierta, realizada de manera independiente por dos integrantes del equipo investigador sobre el conjunto completo de notas de campo e incidencias registradas durante ambas jornadas; las discrepancias iniciales de codificación se resolvieron por consenso en sesiones de revisión conjunta hasta consolidar una matriz unificada organizada en los tres patrones temáticos informados.</w:t>
      </w:r>
    </w:p>
    <w:p>
      <w:pPr>
        <w:spacing w:before="200" w:after="80"/>
        <w:jc w:val="left"/>
      </w:pPr>
      <w:r>
        <w:rPr>
          <w:rFonts w:ascii="Times New Roman" w:hAnsi="Times New Roman"/>
          <w:b/>
          <w:sz w:val="24"/>
        </w:rPr>
        <w:t>2.7. Consideraciones éticas</w:t>
      </w:r>
    </w:p>
    <w:p>
      <w:pPr>
        <w:spacing w:line="240" w:lineRule="auto" w:after="120" w:before="0"/>
      </w:pPr>
      <w:r>
        <w:rPr>
          <w:rFonts w:ascii="Times New Roman" w:hAnsi="Times New Roman"/>
          <w:sz w:val="24"/>
        </w:rPr>
        <w:t>La investigación analizó registros agregados de asistencia, métricas técnicas anonimizadas y notas de campo elaboradas durante una actividad formativa voluntaria. Los participantes fueron informados previamente sobre el propósito investigativo de la experiencia, el carácter voluntario de su participación y el tratamiento agregado de los resultados. No se recopilaron datos personales sensibles ni se publicaron identificadores que permitieran vincular los resultados con participantes individuales. La actividad no tuvo consecuencias académicas ni evaluativas. El estudio no contó con evaluación previa de un comité de ética institucional, circunstancia que constituye una limitación del diseño y que deberá considerarse en futuras implementaciones.</w:t>
      </w:r>
    </w:p>
    <w:p>
      <w:pPr>
        <w:spacing w:before="280" w:after="120"/>
        <w:jc w:val="center"/>
      </w:pPr>
      <w:r>
        <w:rPr>
          <w:rFonts w:ascii="Times New Roman" w:hAnsi="Times New Roman"/>
          <w:b/>
          <w:sz w:val="24"/>
        </w:rPr>
        <w:t>3. RESULTADOS</w:t>
      </w:r>
    </w:p>
    <w:p>
      <w:pPr>
        <w:spacing w:before="200" w:after="80"/>
        <w:jc w:val="left"/>
      </w:pPr>
      <w:r>
        <w:rPr>
          <w:rFonts w:ascii="Times New Roman" w:hAnsi="Times New Roman"/>
          <w:b/>
          <w:sz w:val="24"/>
        </w:rPr>
        <w:t>3.1. Arquitectura técnica y ecosistema de recursos desarrollados (PI1)</w:t>
      </w:r>
    </w:p>
    <w:p>
      <w:pPr>
        <w:spacing w:line="240" w:lineRule="auto" w:after="120" w:before="0"/>
      </w:pPr>
      <w:r>
        <w:rPr>
          <w:rFonts w:ascii="Times New Roman" w:hAnsi="Times New Roman"/>
          <w:sz w:val="24"/>
        </w:rPr>
        <w:t>En respuesta a la primera pregunta de investigación, la implementación permitió operacionalizar la separación entre las reglas pedagógicas almacenadas en archivos de especificación y la capacidad generativa del modelo.</w:t>
      </w:r>
    </w:p>
    <w:p>
      <w:pPr>
        <w:spacing w:line="240" w:lineRule="auto" w:after="120" w:before="0"/>
      </w:pPr>
      <w:r>
        <w:rPr>
          <w:rFonts w:ascii="Times New Roman" w:hAnsi="Times New Roman"/>
          <w:sz w:val="24"/>
        </w:rPr>
        <w:t xml:space="preserve">A través del protocolo MCP, el agente accedió a las soluciones de código ubicadas en carpetas locales, contrastándolas contra los criterios expresados en </w:t>
      </w:r>
      <w:r>
        <w:rPr>
          <w:rFonts w:ascii="Consolas" w:hAnsi="Consolas"/>
          <w:sz w:val="21"/>
        </w:rPr>
        <w:t>rubrica.md</w:t>
      </w:r>
      <w:r>
        <w:rPr>
          <w:rFonts w:ascii="Times New Roman" w:hAnsi="Times New Roman"/>
          <w:sz w:val="24"/>
        </w:rPr>
        <w:t xml:space="preserve"> y generando borradores de devolución que citaban números de línea concretos. La formalización mediante habilidades estructuradas favoreció que los prediagnósticos conservaran una estructura común compuesta por: (a) identificación de fortalezas observadas, (b) señalamiento de inconsistencias algorítmicas con cita textual de código y (c) formulación de preguntas orientadoras para la corrección autónoma.</w:t>
      </w:r>
    </w:p>
    <w:p>
      <w:pPr>
        <w:spacing w:line="240" w:lineRule="auto" w:after="120" w:before="0"/>
      </w:pPr>
      <w:r>
        <w:rPr>
          <w:rFonts w:ascii="Times New Roman" w:hAnsi="Times New Roman"/>
          <w:sz w:val="24"/>
        </w:rPr>
        <w:t xml:space="preserve">Asimismo, se desarrolló un banco de recursos didácticos de transferencia estructurado en 35 aplicaciones interactivas web autocontenidas para </w:t>
      </w:r>
      <w:r>
        <w:rPr>
          <w:rFonts w:ascii="Times New Roman" w:hAnsi="Times New Roman"/>
          <w:i/>
          <w:sz w:val="24"/>
        </w:rPr>
        <w:t>Algoritmos y Programación</w:t>
      </w:r>
      <w:r>
        <w:rPr>
          <w:rFonts w:ascii="Times New Roman" w:hAnsi="Times New Roman"/>
          <w:sz w:val="24"/>
        </w:rPr>
        <w:t>, complementado con módulos de prueba en estructuras dinámicas, simulaciones estocásticas y verificación de permisos en sistemas operativos.</w:t>
      </w:r>
    </w:p>
    <w:p>
      <w:pPr>
        <w:spacing w:before="200" w:after="80"/>
        <w:jc w:val="left"/>
      </w:pPr>
      <w:r>
        <w:rPr>
          <w:rFonts w:ascii="Times New Roman" w:hAnsi="Times New Roman"/>
          <w:b/>
          <w:sz w:val="24"/>
        </w:rPr>
        <w:t>3.2. Participación y adopción instrumental durante el taller (PI2)</w:t>
      </w:r>
    </w:p>
    <w:p>
      <w:pPr>
        <w:spacing w:line="240" w:lineRule="auto" w:after="120" w:before="0"/>
      </w:pPr>
      <w:r>
        <w:rPr>
          <w:rFonts w:ascii="Times New Roman" w:hAnsi="Times New Roman"/>
          <w:sz w:val="24"/>
        </w:rPr>
        <w:t>La convocatoria registró 80 postulantes y 70 asistentes efectivos durante las dos jornadas (tasa de asistencia del 87,5 %). Sin embargo, la interacción con la infraestructura técnica del repositorio plantilla reveló una dinámica disímil en función de las herramientas empleadas.</w:t>
      </w:r>
    </w:p>
    <w:p>
      <w:pPr>
        <w:spacing w:line="240" w:lineRule="auto" w:after="120" w:before="0"/>
      </w:pPr>
      <w:r>
        <w:rPr>
          <w:rFonts w:ascii="Times New Roman" w:hAnsi="Times New Roman"/>
          <w:sz w:val="24"/>
        </w:rPr>
        <w:t>La Tabla 1 resume los niveles de progresión observados entre los participantes durante el tiempo sincrónico de las sesiones de laboratorio.</w:t>
      </w:r>
    </w:p>
    <w:p>
      <w:pPr>
        <w:spacing w:line="240" w:lineRule="auto" w:before="240" w:after="40"/>
      </w:pPr>
      <w:r>
        <w:rPr>
          <w:rFonts w:ascii="Times New Roman" w:hAnsi="Times New Roman"/>
          <w:b/>
          <w:sz w:val="24"/>
        </w:rPr>
        <w:t>Tabla 1</w:t>
      </w:r>
    </w:p>
    <w:p>
      <w:pPr>
        <w:spacing w:line="240" w:lineRule="auto" w:before="0" w:after="120"/>
      </w:pPr>
      <w:r>
        <w:rPr>
          <w:rFonts w:ascii="Times New Roman" w:hAnsi="Times New Roman"/>
          <w:i/>
          <w:sz w:val="24"/>
        </w:rPr>
        <w:t>Participación de los asistentes en las actividades técnicas del taller (N = 70)</w:t>
      </w:r>
    </w:p>
    <w:tbl>
      <w:tblPr>
        <w:tblW w:type="auto" w:w="0"/>
        <w:jc w:val="center"/>
        <w:tblLook w:firstColumn="1" w:firstRow="1" w:lastColumn="0" w:lastRow="0" w:noHBand="0" w:noVBand="1" w:val="04A0"/>
      </w:tblPr>
      <w:tblGrid>
        <w:gridCol w:w="2835"/>
        <w:gridCol w:w="2835"/>
        <w:gridCol w:w="2835"/>
      </w:tblGrid>
      <w:tr>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left"/>
            </w:pPr>
            <w:r>
              <w:rPr>
                <w:b/>
              </w:rPr>
            </w:r>
            <w:r>
              <w:rPr>
                <w:rFonts w:ascii="Times New Roman" w:hAnsi="Times New Roman"/>
                <w:b/>
                <w:sz w:val="20"/>
              </w:rPr>
              <w:t>Actividad o logro observado</w:t>
            </w:r>
          </w:p>
        </w:tc>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center"/>
            </w:pPr>
            <w:r>
              <w:rPr>
                <w:b/>
              </w:rPr>
            </w:r>
            <w:r>
              <w:rPr>
                <w:rFonts w:ascii="Times New Roman" w:hAnsi="Times New Roman"/>
                <w:b/>
                <w:sz w:val="20"/>
              </w:rPr>
              <w:t>Frecuencia (n)</w:t>
            </w:r>
          </w:p>
        </w:tc>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center"/>
            </w:pPr>
            <w:r>
              <w:rPr>
                <w:b/>
              </w:rPr>
            </w:r>
            <w:r>
              <w:rPr>
                <w:rFonts w:ascii="Times New Roman" w:hAnsi="Times New Roman"/>
                <w:b/>
                <w:sz w:val="20"/>
              </w:rPr>
              <w:t>Porcentaje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Asistentes presentes en el taller</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70</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100,0 %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Acceso y clonación del repositorio plantilla</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41</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58,6 %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Resolución del cuestionario web interactivo (</w:t>
            </w:r>
            <w:r>
              <w:rPr>
                <w:rFonts w:ascii="Consolas" w:hAnsi="Consolas"/>
                <w:sz w:val="17"/>
              </w:rPr>
              <w:t>index.html</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52</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74,3 %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Ejecución local del evaluador (</w:t>
            </w:r>
            <w:r>
              <w:rPr>
                <w:rFonts w:ascii="Consolas" w:hAnsi="Consolas"/>
                <w:sz w:val="17"/>
              </w:rPr>
              <w:t>autograder_taller.py</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19</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27,1 %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 xml:space="preserve">Realización de al menos un </w:t>
            </w:r>
            <w:r>
              <w:rPr>
                <w:rFonts w:ascii="Times New Roman" w:hAnsi="Times New Roman"/>
                <w:i/>
                <w:sz w:val="20"/>
              </w:rPr>
              <w:t>commit</w:t>
            </w:r>
            <w:r>
              <w:rPr>
                <w:rFonts w:ascii="Times New Roman" w:hAnsi="Times New Roman"/>
                <w:sz w:val="20"/>
              </w:rPr>
              <w:t xml:space="preserve"> local</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14</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20,0 %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Envío exitoso de cambios a GitHub (</w:t>
            </w:r>
            <w:r>
              <w:rPr>
                <w:rFonts w:ascii="Times New Roman" w:hAnsi="Times New Roman"/>
                <w:i/>
                <w:sz w:val="20"/>
              </w:rPr>
              <w:t>push</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6</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8,6 %</w:t>
            </w:r>
          </w:p>
        </w:tc>
      </w:tr>
      <w:tr>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left"/>
            </w:pPr>
            <w:r/>
            <w:r>
              <w:rPr>
                <w:rFonts w:ascii="Times New Roman" w:hAnsi="Times New Roman"/>
                <w:sz w:val="20"/>
              </w:rPr>
              <w:t>Culminación integral autónoma del flujo de integración continua (100 pts)</w:t>
            </w:r>
          </w:p>
        </w:tc>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right"/>
            </w:pPr>
            <w:r/>
            <w:r>
              <w:rPr>
                <w:rFonts w:ascii="Times New Roman" w:hAnsi="Times New Roman"/>
                <w:sz w:val="20"/>
              </w:rPr>
              <w:t>1</w:t>
            </w:r>
          </w:p>
        </w:tc>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right"/>
            </w:pPr>
            <w:r/>
            <w:r>
              <w:rPr>
                <w:rFonts w:ascii="Times New Roman" w:hAnsi="Times New Roman"/>
                <w:sz w:val="20"/>
              </w:rPr>
              <w:t>1,4 %</w:t>
            </w:r>
          </w:p>
        </w:tc>
      </w:tr>
    </w:tbl>
    <w:p>
      <w:pPr>
        <w:spacing w:line="240" w:lineRule="auto" w:before="60" w:after="240"/>
      </w:pPr>
      <w:r>
        <w:rPr>
          <w:rFonts w:ascii="Times New Roman" w:hAnsi="Times New Roman"/>
          <w:i/>
          <w:sz w:val="20"/>
        </w:rPr>
        <w:t>Nota.</w:t>
      </w:r>
      <w:r>
        <w:rPr>
          <w:rFonts w:ascii="Times New Roman" w:hAnsi="Times New Roman"/>
          <w:sz w:val="20"/>
        </w:rPr>
        <w:t xml:space="preserve"> Las categorías no representan etapas mutuamente excluyentes ni necesariamente acumulativas. El cuestionario web interactivo también estuvo disponible mediante acceso directo desde el navegador (sin requerir clonación previa del repositorio). Los datos de ejecuciones de integración continua se obtuvieron de los registros de GitHub Actions. El acceso al repositorio, la clonación, la ejecución local de scripts y la realización de confirmaciones de cambios fueron registrados mediante observación directa y asistencia técnica en el aula. Se consideró culminación autónoma la obtención de 100 puntos en GitHub Actions durante el horario sincrónico del taller, sin intervención directa del equipo capacitador sobre el equipo, los archivos o los comandos ejecutados por el participante.</w:t>
      </w:r>
    </w:p>
    <w:p>
      <w:pPr>
        <w:spacing w:line="240" w:lineRule="auto" w:after="120" w:before="0"/>
      </w:pPr>
      <w:r>
        <w:rPr>
          <w:rFonts w:ascii="Times New Roman" w:hAnsi="Times New Roman"/>
          <w:sz w:val="24"/>
        </w:rPr>
        <w:t>Como se observa en la Tabla 1, mientras que el 74,3 % de los asistentes resolvió con éxito las actividades conceptuales provistas mediante la interfaz web desacoplada (</w:t>
      </w:r>
      <w:r>
        <w:rPr>
          <w:rFonts w:ascii="Consolas" w:hAnsi="Consolas"/>
          <w:sz w:val="21"/>
        </w:rPr>
        <w:t>index.html</w:t>
      </w:r>
      <w:r>
        <w:rPr>
          <w:rFonts w:ascii="Times New Roman" w:hAnsi="Times New Roman"/>
          <w:sz w:val="24"/>
        </w:rPr>
        <w:t xml:space="preserve">), únicamente 6 personas (8,6 %) lograron sincronizar cambios remotos hacia GitHub, y </w:t>
      </w:r>
      <w:r>
        <w:rPr>
          <w:rFonts w:ascii="Times New Roman" w:hAnsi="Times New Roman"/>
          <w:b/>
          <w:sz w:val="24"/>
        </w:rPr>
        <w:t>un único participante (1,4 %) completó de manera plenamente autónoma la totalidad de los requisitos verificados por GitHub Actions (100 puntos)</w:t>
      </w:r>
      <w:r>
        <w:rPr>
          <w:rFonts w:ascii="Times New Roman" w:hAnsi="Times New Roman"/>
          <w:sz w:val="24"/>
        </w:rPr>
        <w:t xml:space="preserve"> durante el horario del taller.</w:t>
      </w:r>
    </w:p>
    <w:p>
      <w:pPr>
        <w:spacing w:before="200" w:after="80"/>
        <w:jc w:val="left"/>
      </w:pPr>
      <w:r>
        <w:rPr>
          <w:rFonts w:ascii="Times New Roman" w:hAnsi="Times New Roman"/>
          <w:b/>
          <w:sz w:val="24"/>
        </w:rPr>
        <w:t>3.3. Factores asociados a la adopción y barreras emergentes (PI3)</w:t>
      </w:r>
    </w:p>
    <w:p>
      <w:pPr>
        <w:spacing w:line="240" w:lineRule="auto" w:after="120" w:before="0"/>
      </w:pPr>
      <w:r>
        <w:rPr>
          <w:rFonts w:ascii="Times New Roman" w:hAnsi="Times New Roman"/>
          <w:sz w:val="24"/>
        </w:rPr>
        <w:t>El análisis temático de las notas de campo y las consultas de los participantes permitió identificar tres patrones recurrentes asociados con la brecha observada en la culminación del flujo técnico:</w:t>
      </w:r>
    </w:p>
    <w:p>
      <w:pPr>
        <w:spacing w:line="240" w:lineRule="auto" w:after="120" w:before="0"/>
      </w:pPr>
      <w:r>
        <w:rPr>
          <w:rFonts w:ascii="Times New Roman" w:hAnsi="Times New Roman"/>
          <w:sz w:val="24"/>
        </w:rPr>
        <w:t xml:space="preserve">1. </w:t>
      </w:r>
      <w:r>
        <w:rPr>
          <w:rFonts w:ascii="Times New Roman" w:hAnsi="Times New Roman"/>
          <w:b/>
          <w:sz w:val="24"/>
        </w:rPr>
        <w:t>Fricción instrumental con el ecosistema de control de versiones (Git/CLI):</w:t>
      </w:r>
      <w:r>
        <w:rPr>
          <w:rFonts w:ascii="Times New Roman" w:hAnsi="Times New Roman"/>
          <w:sz w:val="24"/>
        </w:rPr>
        <w:t xml:space="preserve"> La barrera más recurrentemente registrada en las notas de campo (n = 28 incidencias documentadas) no estuvo vinculada con la comprensión pedagógica de MCP, sino con incidentes instrumentales durante el uso de la terminal: errores en la autenticación de cuentas mediante tokens de acceso personal en GitHub, fallas de sintaxis en comandos de consola (</w:t>
      </w:r>
      <w:r>
        <w:rPr>
          <w:rFonts w:ascii="Consolas" w:hAnsi="Consolas"/>
          <w:sz w:val="21"/>
        </w:rPr>
        <w:t>git commit -m</w:t>
      </w:r>
      <w:r>
        <w:rPr>
          <w:rFonts w:ascii="Times New Roman" w:hAnsi="Times New Roman"/>
          <w:sz w:val="24"/>
        </w:rPr>
        <w:t>) y desorientación ante estados de bifurcación o ramas desacopladas (</w:t>
      </w:r>
      <w:r>
        <w:rPr>
          <w:rFonts w:ascii="Times New Roman" w:hAnsi="Times New Roman"/>
          <w:i/>
          <w:sz w:val="24"/>
        </w:rPr>
        <w:t>detached HEAD</w:t>
      </w:r>
      <w:r>
        <w:rPr>
          <w:rFonts w:ascii="Times New Roman" w:hAnsi="Times New Roman"/>
          <w:sz w:val="24"/>
        </w:rPr>
        <w:t>).</w:t>
      </w:r>
    </w:p>
    <w:p>
      <w:pPr>
        <w:spacing w:line="240" w:lineRule="auto" w:after="120" w:before="0"/>
      </w:pPr>
      <w:r>
        <w:rPr>
          <w:rFonts w:ascii="Times New Roman" w:hAnsi="Times New Roman"/>
          <w:sz w:val="24"/>
        </w:rPr>
        <w:t xml:space="preserve">2. </w:t>
      </w:r>
      <w:r>
        <w:rPr>
          <w:rFonts w:ascii="Times New Roman" w:hAnsi="Times New Roman"/>
          <w:b/>
          <w:sz w:val="24"/>
        </w:rPr>
        <w:t>Modalidad de participación predominantemente observacional:</w:t>
      </w:r>
      <w:r>
        <w:rPr>
          <w:rFonts w:ascii="Times New Roman" w:hAnsi="Times New Roman"/>
          <w:sz w:val="24"/>
        </w:rPr>
        <w:t xml:space="preserve"> Se registraron casos reiterados (n = 21 observaciones) de participantes que siguieron las demostraciones del instructor en pantalla, tomaron notas metodológicas y postergaron la configuración en sus propios equipos, manifestando explícitamente su preferencia por diferir la ejecución técnica para una instancia asincrónica posterior sin presión temporal.</w:t>
      </w:r>
    </w:p>
    <w:p>
      <w:pPr>
        <w:spacing w:line="240" w:lineRule="auto" w:after="120" w:before="0"/>
      </w:pPr>
      <w:r>
        <w:rPr>
          <w:rFonts w:ascii="Times New Roman" w:hAnsi="Times New Roman"/>
          <w:sz w:val="24"/>
        </w:rPr>
        <w:t xml:space="preserve">3. </w:t>
      </w:r>
      <w:r>
        <w:rPr>
          <w:rFonts w:ascii="Times New Roman" w:hAnsi="Times New Roman"/>
          <w:b/>
          <w:sz w:val="24"/>
        </w:rPr>
        <w:t>Disposición favorable hacia interfaces interactivas desacopladas:</w:t>
      </w:r>
      <w:r>
        <w:rPr>
          <w:rFonts w:ascii="Times New Roman" w:hAnsi="Times New Roman"/>
          <w:sz w:val="24"/>
        </w:rPr>
        <w:t xml:space="preserve"> Se observó una marcada fluidez operativa (n = 15 registros positivos) cuando los participantes interactuaron con el cuestionario y los recursos didácticos web locales en HTML/JS. Al no requerir dependencias de compilación ni comandos de consola, estos recursos permitieron a los asistentes validar conceptos algorítmicos y de evaluación sin experimentar bloqueos técnicos.</w:t>
      </w:r>
    </w:p>
    <w:p>
      <w:pPr>
        <w:spacing w:line="240" w:lineRule="auto" w:after="120" w:before="0"/>
      </w:pPr>
      <w:r>
        <w:rPr>
          <w:rFonts w:ascii="Times New Roman" w:hAnsi="Times New Roman"/>
          <w:sz w:val="24"/>
        </w:rPr>
        <w:t>Estos patrones fundamentaron tres necesidades de andamiaje: una ruta preliminar de alfabetización en Git, la disponibilidad de interfaces visuales equivalentes y una secuenciación que permita apropiarse primero de los principios pedagógicos antes de incorporar el flujo técnico completo.</w:t>
      </w:r>
    </w:p>
    <w:p>
      <w:pPr>
        <w:spacing w:before="280" w:after="120"/>
        <w:jc w:val="center"/>
      </w:pPr>
      <w:r>
        <w:rPr>
          <w:rFonts w:ascii="Times New Roman" w:hAnsi="Times New Roman"/>
          <w:b/>
          <w:sz w:val="24"/>
        </w:rPr>
        <w:t>4. DISCUSIÓN</w:t>
      </w:r>
    </w:p>
    <w:p>
      <w:pPr>
        <w:spacing w:before="200" w:after="80"/>
        <w:jc w:val="left"/>
      </w:pPr>
      <w:r>
        <w:rPr>
          <w:rFonts w:ascii="Times New Roman" w:hAnsi="Times New Roman"/>
          <w:b/>
          <w:sz w:val="24"/>
        </w:rPr>
        <w:t>4.1. La brecha de instrumentación (*Tooling Gap*) como factor crítico</w:t>
      </w:r>
    </w:p>
    <w:p>
      <w:pPr>
        <w:spacing w:line="240" w:lineRule="auto" w:after="120" w:before="0"/>
      </w:pPr>
      <w:r>
        <w:rPr>
          <w:rFonts w:ascii="Times New Roman" w:hAnsi="Times New Roman"/>
          <w:sz w:val="24"/>
        </w:rPr>
        <w:t>El marcado contraste entre la elevada tasa de asistencia de la cohorte (87,5 %) y la baja culminación sincrónica del flujo automatizado en GitHub Actions (1,4 %) constituye el hallazgo empírico más relevante de la experiencia.</w:t>
      </w:r>
    </w:p>
    <w:p>
      <w:pPr>
        <w:spacing w:line="240" w:lineRule="auto" w:after="120" w:before="0"/>
      </w:pPr>
      <w:r>
        <w:rPr>
          <w:rFonts w:ascii="Times New Roman" w:hAnsi="Times New Roman"/>
          <w:sz w:val="24"/>
        </w:rPr>
        <w:t>Los resultados de este estudio sugieren que la incorporación simultánea de herramientas profesionales de integración continua y control de versiones puede introducir una carga instrumental secundaria que compite con los objetivos pedagógicos centrales del taller. Cuando se intenta capacitar en el diseño de agentes de IA y se exige simultáneamente el dominio de flujos completos de Git y terminal, la fricción instrumental puede dificultar la apropiación pedagógica.</w:t>
      </w:r>
    </w:p>
    <w:p>
      <w:pPr>
        <w:spacing w:line="240" w:lineRule="auto" w:after="120" w:before="0"/>
      </w:pPr>
      <w:r>
        <w:rPr>
          <w:rFonts w:ascii="Times New Roman" w:hAnsi="Times New Roman"/>
          <w:sz w:val="24"/>
        </w:rPr>
        <w:t>Este hallazgo fundamenta la necesidad de repensar los canales de entrega. Para que arquitecturas basadas en MCP puedan ser adoptadas de forma amplia por docentes universitarios de diversas disciplinas, es imprescindible encapsular la complejidad de la consola de comandos mediante editores con interfaces gráficas amigables, extensiones integradas o plataformas de aprendizaje nativas que no requieran manipulación directa de flujos Git de bajo nivel.</w:t>
      </w:r>
    </w:p>
    <w:p>
      <w:pPr>
        <w:spacing w:before="200" w:after="80"/>
        <w:jc w:val="left"/>
      </w:pPr>
      <w:r>
        <w:rPr>
          <w:rFonts w:ascii="Times New Roman" w:hAnsi="Times New Roman"/>
          <w:b/>
          <w:sz w:val="24"/>
        </w:rPr>
        <w:t>4.2. Especificaciones formales y consistencia en los prediagnósticos</w:t>
      </w:r>
    </w:p>
    <w:p>
      <w:pPr>
        <w:spacing w:line="240" w:lineRule="auto" w:after="120" w:before="0"/>
      </w:pPr>
      <w:r>
        <w:rPr>
          <w:rFonts w:ascii="Times New Roman" w:hAnsi="Times New Roman"/>
          <w:sz w:val="24"/>
        </w:rPr>
        <w:t xml:space="preserve">Durante las pruebas de pilotaje curricular en </w:t>
      </w:r>
      <w:r>
        <w:rPr>
          <w:rFonts w:ascii="Times New Roman" w:hAnsi="Times New Roman"/>
          <w:i/>
          <w:sz w:val="24"/>
        </w:rPr>
        <w:t>Programación II</w:t>
      </w:r>
      <w:r>
        <w:rPr>
          <w:rFonts w:ascii="Times New Roman" w:hAnsi="Times New Roman"/>
          <w:sz w:val="24"/>
        </w:rPr>
        <w:t xml:space="preserve"> y </w:t>
      </w:r>
      <w:r>
        <w:rPr>
          <w:rFonts w:ascii="Times New Roman" w:hAnsi="Times New Roman"/>
          <w:i/>
          <w:sz w:val="24"/>
        </w:rPr>
        <w:t>Algoritmos y Programación</w:t>
      </w:r>
      <w:r>
        <w:rPr>
          <w:rFonts w:ascii="Times New Roman" w:hAnsi="Times New Roman"/>
          <w:sz w:val="24"/>
        </w:rPr>
        <w:t xml:space="preserve">, se observó una mayor consistencia aparente en la estructura de los borradores de evaluación cuando el agente operó subordinado a archivos </w:t>
      </w:r>
      <w:r>
        <w:rPr>
          <w:rFonts w:ascii="Consolas" w:hAnsi="Consolas"/>
          <w:sz w:val="21"/>
        </w:rPr>
        <w:t>AGENTS.md</w:t>
      </w:r>
      <w:r>
        <w:rPr>
          <w:rFonts w:ascii="Times New Roman" w:hAnsi="Times New Roman"/>
          <w:sz w:val="24"/>
        </w:rPr>
        <w:t xml:space="preserve"> y rúbricas analíticas formalizadas.</w:t>
      </w:r>
    </w:p>
    <w:p>
      <w:pPr>
        <w:spacing w:line="240" w:lineRule="auto" w:after="120" w:before="0"/>
      </w:pPr>
      <w:r>
        <w:rPr>
          <w:rFonts w:ascii="Times New Roman" w:hAnsi="Times New Roman"/>
          <w:sz w:val="24"/>
        </w:rPr>
        <w:t>La exigencia protocolizada de vincular cada dictamen a evidencias localizables en el código facilitó la detección docente de afirmaciones erróneas y estableció condiciones operativas orientadas a reducir el riesgo de aceptar evaluaciones no verificadas. Al limitar las herramientas del agente a la inspección pericial mediante MCP, se restringió operativamente la generación directa de soluciones completas y se orientó la respuesta hacia observaciones diagnósticas y preguntas de andamiaje. No obstante, esta consistencia observada requiere ser validada en investigaciones futuras mediante coeficientes estandarizados de concordancia interjueces y diseños cuasiexperimentales controlados.</w:t>
      </w:r>
    </w:p>
    <w:p>
      <w:pPr>
        <w:spacing w:before="200" w:after="80"/>
        <w:jc w:val="left"/>
      </w:pPr>
      <w:r>
        <w:rPr>
          <w:rFonts w:ascii="Times New Roman" w:hAnsi="Times New Roman"/>
          <w:b/>
          <w:sz w:val="24"/>
        </w:rPr>
        <w:t>4.3. Supervisión humana (*Human-in-the-Loop*) y gobernanza ética</w:t>
      </w:r>
    </w:p>
    <w:p>
      <w:pPr>
        <w:spacing w:line="240" w:lineRule="auto" w:after="120" w:before="0"/>
      </w:pPr>
      <w:r>
        <w:rPr>
          <w:rFonts w:ascii="Times New Roman" w:hAnsi="Times New Roman"/>
          <w:sz w:val="24"/>
        </w:rPr>
        <w:t>La experiencia respalda el uso de los agentes como asistentes de diagnóstico preliminar, manteniendo la decisión evaluativa final bajo responsabilidad docente. Durante el pilotaje, el equipo docente percibió que el prediagnóstico asistido disminuía el trabajo rutinario de localización y cotejo de patrones de código; sin embargo, esta percepción no fue cuantificada mediante un protocolo temporal controlado.</w:t>
      </w:r>
    </w:p>
    <w:p>
      <w:pPr>
        <w:spacing w:line="240" w:lineRule="auto" w:after="120" w:before="0"/>
      </w:pPr>
      <w:r>
        <w:rPr>
          <w:rFonts w:ascii="Times New Roman" w:hAnsi="Times New Roman"/>
          <w:sz w:val="24"/>
        </w:rPr>
        <w:t>Delegar la retroalimentación final directamente en un modelo generativo sin intervención humana vulnera el principio de responsabilidad pedagógica e incrementa la desprotección del estudiante ante eventuales sesgos algorítmicos. La supervisión activa no representa un obstáculo burocrático, sino la condición indispensable para que la tecnología opere de manera ética y formativamente significativa.</w:t>
      </w:r>
    </w:p>
    <w:p>
      <w:pPr>
        <w:spacing w:before="200" w:after="80"/>
        <w:jc w:val="left"/>
      </w:pPr>
      <w:r>
        <w:rPr>
          <w:rFonts w:ascii="Times New Roman" w:hAnsi="Times New Roman"/>
          <w:b/>
          <w:sz w:val="24"/>
        </w:rPr>
        <w:t>4.4. Implicaciones para la formación docente en informática</w:t>
      </w:r>
    </w:p>
    <w:p>
      <w:pPr>
        <w:spacing w:line="240" w:lineRule="auto" w:after="120" w:before="0"/>
      </w:pPr>
      <w:r>
        <w:rPr>
          <w:rFonts w:ascii="Times New Roman" w:hAnsi="Times New Roman"/>
          <w:sz w:val="24"/>
        </w:rPr>
        <w:t>La interacción entre docentes de ingeniería en ejercicio y futuros formadores en informática educativa permitió observar aportes potencialmente complementarios para la innovación educativa. Las notas de campo sugirieron diferencias de énfasis entre ambos perfiles: en las intervenciones de participantes vinculados con ingeniería se registraron consultas relacionadas con el control sintáctico y el aislamiento de entornos, mientras que entre los perfiles de formación pedagógica fueron recurrentes las preguntas sobre rúbricas, lenguaje de retroalimentación y accesibilidad. Integrar ambas miradas resulta imprescindible para evitar tanto el determinismo técnico como la adopción pedagógica ingenua de la IA.</w:t>
      </w:r>
    </w:p>
    <w:p>
      <w:pPr>
        <w:spacing w:before="200" w:after="80"/>
        <w:jc w:val="left"/>
      </w:pPr>
      <w:r>
        <w:rPr>
          <w:rFonts w:ascii="Times New Roman" w:hAnsi="Times New Roman"/>
          <w:b/>
          <w:sz w:val="24"/>
        </w:rPr>
        <w:t>4.5. Limitaciones del estudio</w:t>
      </w:r>
    </w:p>
    <w:p>
      <w:pPr>
        <w:spacing w:line="240" w:lineRule="auto" w:after="120" w:before="0"/>
      </w:pPr>
      <w:r>
        <w:rPr>
          <w:rFonts w:ascii="Times New Roman" w:hAnsi="Times New Roman"/>
          <w:sz w:val="24"/>
        </w:rPr>
        <w:t>Los hallazgos del presente trabajo deben interpretarse a la luz de diversas limitaciones metodológicas:</w:t>
      </w:r>
    </w:p>
    <w:p>
      <w:pPr>
        <w:spacing w:line="240" w:lineRule="auto" w:after="120" w:before="0"/>
      </w:pPr>
      <w:r>
        <w:rPr>
          <w:rFonts w:ascii="Times New Roman" w:hAnsi="Times New Roman"/>
          <w:sz w:val="24"/>
        </w:rPr>
        <w:t xml:space="preserve">1. </w:t>
      </w:r>
      <w:r>
        <w:rPr>
          <w:rFonts w:ascii="Times New Roman" w:hAnsi="Times New Roman"/>
          <w:b/>
          <w:sz w:val="24"/>
        </w:rPr>
        <w:t>Muestra intencional y localizada:</w:t>
      </w:r>
      <w:r>
        <w:rPr>
          <w:rFonts w:ascii="Times New Roman" w:hAnsi="Times New Roman"/>
          <w:sz w:val="24"/>
        </w:rPr>
        <w:t xml:space="preserve"> La población del taller estuvo conformada por una muestra no probabilística de participantes pertenecientes a dos instituciones de una misma región, lo que restringe la generalización de los resultados.</w:t>
      </w:r>
    </w:p>
    <w:p>
      <w:pPr>
        <w:spacing w:line="240" w:lineRule="auto" w:after="120" w:before="0"/>
      </w:pPr>
      <w:r>
        <w:rPr>
          <w:rFonts w:ascii="Times New Roman" w:hAnsi="Times New Roman"/>
          <w:sz w:val="24"/>
        </w:rPr>
        <w:t xml:space="preserve">2. </w:t>
      </w:r>
      <w:r>
        <w:rPr>
          <w:rFonts w:ascii="Times New Roman" w:hAnsi="Times New Roman"/>
          <w:b/>
          <w:sz w:val="24"/>
        </w:rPr>
        <w:t>Diseño descriptivo sin grupo de comparación:</w:t>
      </w:r>
      <w:r>
        <w:rPr>
          <w:rFonts w:ascii="Times New Roman" w:hAnsi="Times New Roman"/>
          <w:sz w:val="24"/>
        </w:rPr>
        <w:t xml:space="preserve"> La investigación no contempló un grupo de control ni mediciones de tipo pretest/postest para evaluar cuantitativamente el aprendizaje o la ganancia de competencias en comparación con metodologías formativas tradicionales.</w:t>
      </w:r>
    </w:p>
    <w:p>
      <w:pPr>
        <w:spacing w:line="240" w:lineRule="auto" w:after="120" w:before="0"/>
      </w:pPr>
      <w:r>
        <w:rPr>
          <w:rFonts w:ascii="Times New Roman" w:hAnsi="Times New Roman"/>
          <w:sz w:val="24"/>
        </w:rPr>
        <w:t xml:space="preserve">3. </w:t>
      </w:r>
      <w:r>
        <w:rPr>
          <w:rFonts w:ascii="Times New Roman" w:hAnsi="Times New Roman"/>
          <w:b/>
          <w:sz w:val="24"/>
        </w:rPr>
        <w:t>Ausencia de mediciones de línea de base:</w:t>
      </w:r>
      <w:r>
        <w:rPr>
          <w:rFonts w:ascii="Times New Roman" w:hAnsi="Times New Roman"/>
          <w:sz w:val="24"/>
        </w:rPr>
        <w:t xml:space="preserve"> No se aplicó un instrumento previo estandarizado para cuantificar el nivel de competencia de los participantes en herramientas de control de versiones (Git) o en el uso de IA generativa, lo que impide aislar con precisión el peso relativo de las habilidades previas sobre la baja culminación del pipeline.</w:t>
      </w:r>
    </w:p>
    <w:p>
      <w:pPr>
        <w:spacing w:line="240" w:lineRule="auto" w:after="120" w:before="0"/>
      </w:pPr>
      <w:r>
        <w:rPr>
          <w:rFonts w:ascii="Times New Roman" w:hAnsi="Times New Roman"/>
          <w:sz w:val="24"/>
        </w:rPr>
        <w:t xml:space="preserve">4. </w:t>
      </w:r>
      <w:r>
        <w:rPr>
          <w:rFonts w:ascii="Times New Roman" w:hAnsi="Times New Roman"/>
          <w:b/>
          <w:sz w:val="24"/>
        </w:rPr>
        <w:t>Restricción temporal del taller:</w:t>
      </w:r>
      <w:r>
        <w:rPr>
          <w:rFonts w:ascii="Times New Roman" w:hAnsi="Times New Roman"/>
          <w:sz w:val="24"/>
        </w:rPr>
        <w:t xml:space="preserve"> La duración de diez horas reloj concentradas en dos jornadas consecutivas pudo haber acentuado la sobrecarga cognitiva, limitando el tiempo disponible para la resolución autónoma de contingencias técnicas complejas.</w:t>
      </w:r>
    </w:p>
    <w:p>
      <w:pPr>
        <w:spacing w:line="240" w:lineRule="auto" w:after="120" w:before="0"/>
      </w:pPr>
      <w:r>
        <w:rPr>
          <w:rFonts w:ascii="Times New Roman" w:hAnsi="Times New Roman"/>
          <w:sz w:val="24"/>
        </w:rPr>
        <w:t xml:space="preserve">5. </w:t>
      </w:r>
      <w:r>
        <w:rPr>
          <w:rFonts w:ascii="Times New Roman" w:hAnsi="Times New Roman"/>
          <w:b/>
          <w:sz w:val="24"/>
        </w:rPr>
        <w:t>Doble rol del equipo investigador:</w:t>
      </w:r>
      <w:r>
        <w:rPr>
          <w:rFonts w:ascii="Times New Roman" w:hAnsi="Times New Roman"/>
          <w:sz w:val="24"/>
        </w:rPr>
        <w:t xml:space="preserve"> La participación de los investigadores como diseñadores de la arquitectura, docentes a cargo del pilotaje y capacitadores en el taller introduce un potencial sesgo de observación, atenuado parcialmente mediante el uso de registros técnicos automatizados.</w:t>
      </w:r>
    </w:p>
    <w:p>
      <w:pPr>
        <w:spacing w:line="240" w:lineRule="auto" w:after="120" w:before="0"/>
      </w:pPr>
      <w:r>
        <w:rPr>
          <w:rFonts w:ascii="Times New Roman" w:hAnsi="Times New Roman"/>
          <w:sz w:val="24"/>
        </w:rPr>
        <w:t xml:space="preserve">6. </w:t>
      </w:r>
      <w:r>
        <w:rPr>
          <w:rFonts w:ascii="Times New Roman" w:hAnsi="Times New Roman"/>
          <w:b/>
          <w:sz w:val="24"/>
        </w:rPr>
        <w:t>Carácter preliminar del análisis temporal:</w:t>
      </w:r>
      <w:r>
        <w:rPr>
          <w:rFonts w:ascii="Times New Roman" w:hAnsi="Times New Roman"/>
          <w:sz w:val="24"/>
        </w:rPr>
        <w:t xml:space="preserve"> Las observaciones sobre el ahorro de tiempo docente en la revisión son cualitativas y proceden de la experiencia de pilotaje, no habiendo sido sometidas a un protocolo formal de cronometraje y comparación experimental.</w:t>
      </w:r>
    </w:p>
    <w:p>
      <w:pPr>
        <w:spacing w:line="240" w:lineRule="auto" w:after="120" w:before="0"/>
      </w:pPr>
      <w:r>
        <w:rPr>
          <w:rFonts w:ascii="Times New Roman" w:hAnsi="Times New Roman"/>
          <w:sz w:val="24"/>
        </w:rPr>
        <w:t xml:space="preserve">7. </w:t>
      </w:r>
      <w:r>
        <w:rPr>
          <w:rFonts w:ascii="Times New Roman" w:hAnsi="Times New Roman"/>
          <w:b/>
          <w:sz w:val="24"/>
        </w:rPr>
        <w:t>Ausencia de dictamen previo por comité de ética:</w:t>
      </w:r>
      <w:r>
        <w:rPr>
          <w:rFonts w:ascii="Times New Roman" w:hAnsi="Times New Roman"/>
          <w:sz w:val="24"/>
        </w:rPr>
        <w:t xml:space="preserve"> Si bien se garantizó la anonimización, el carácter voluntario y la comunicación previa del propósito pedagógico, la intervención formativa no contó con una certificación formal de exención emitida por un comité de ética institucional, constituyendo un aspecto a protocolizar en futuras investigaciones.</w:t>
      </w:r>
    </w:p>
    <w:p>
      <w:pPr>
        <w:spacing w:before="280" w:after="120"/>
        <w:jc w:val="center"/>
      </w:pPr>
      <w:r>
        <w:rPr>
          <w:rFonts w:ascii="Times New Roman" w:hAnsi="Times New Roman"/>
          <w:b/>
          <w:sz w:val="24"/>
        </w:rPr>
        <w:t>5. CONCLUSIONES Y TRABAJO FUTURO</w:t>
      </w:r>
    </w:p>
    <w:p>
      <w:pPr>
        <w:spacing w:line="240" w:lineRule="auto" w:after="120" w:before="0"/>
      </w:pPr>
      <w:r>
        <w:rPr>
          <w:rFonts w:ascii="Times New Roman" w:hAnsi="Times New Roman"/>
          <w:sz w:val="24"/>
        </w:rPr>
        <w:t>El presente artículo expuso el diseño, implementación y estudio de transferencia de una arquitectura sociotécnica para la evaluación continua asistida por agentes de inteligencia artificial en programación universitaria, basada en el Protocolo de Contexto de Modelo (MCP), especificaciones en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rúbricas analíticas) y supervisión docente activa (</w:t>
      </w:r>
      <w:r>
        <w:rPr>
          <w:rFonts w:ascii="Times New Roman" w:hAnsi="Times New Roman"/>
          <w:i/>
          <w:sz w:val="24"/>
        </w:rPr>
        <w:t>Human-in-the-Loop</w:t>
      </w:r>
      <w:r>
        <w:rPr>
          <w:rFonts w:ascii="Times New Roman" w:hAnsi="Times New Roman"/>
          <w:sz w:val="24"/>
        </w:rPr>
        <w:t>).</w:t>
      </w:r>
    </w:p>
    <w:p>
      <w:pPr>
        <w:spacing w:line="240" w:lineRule="auto" w:after="120" w:before="0"/>
      </w:pPr>
      <w:r>
        <w:rPr>
          <w:rFonts w:ascii="Times New Roman" w:hAnsi="Times New Roman"/>
          <w:sz w:val="24"/>
        </w:rPr>
        <w:t>Las principales conclusiones son:</w:t>
      </w:r>
    </w:p>
    <w:p>
      <w:pPr>
        <w:spacing w:line="240" w:lineRule="auto" w:after="120" w:before="0"/>
      </w:pPr>
      <w:r>
        <w:rPr>
          <w:rFonts w:ascii="Times New Roman" w:hAnsi="Times New Roman"/>
          <w:sz w:val="24"/>
        </w:rPr>
        <w:t xml:space="preserve">1. </w:t>
      </w:r>
      <w:r>
        <w:rPr>
          <w:rFonts w:ascii="Times New Roman" w:hAnsi="Times New Roman"/>
          <w:b/>
          <w:sz w:val="24"/>
        </w:rPr>
        <w:t>Viabilidad técnica y pedagógica:</w:t>
      </w:r>
      <w:r>
        <w:rPr>
          <w:rFonts w:ascii="Times New Roman" w:hAnsi="Times New Roman"/>
          <w:sz w:val="24"/>
        </w:rPr>
        <w:t xml:space="preserve"> La articulación entre MCP y especificaciones estructuradas permite inspeccionar entornos locales de código de manera auditable y reducir el acoplamiento con integraciones propietarias específicas, siempre que el servidor opere con rutas restringidas, privilegios mínimos y mecanismos adecuados de protección de credenciales.</w:t>
      </w:r>
    </w:p>
    <w:p>
      <w:pPr>
        <w:spacing w:line="240" w:lineRule="auto" w:after="120" w:before="0"/>
      </w:pPr>
      <w:r>
        <w:rPr>
          <w:rFonts w:ascii="Times New Roman" w:hAnsi="Times New Roman"/>
          <w:sz w:val="24"/>
        </w:rPr>
        <w:t xml:space="preserve">2. </w:t>
      </w:r>
      <w:r>
        <w:rPr>
          <w:rFonts w:ascii="Times New Roman" w:hAnsi="Times New Roman"/>
          <w:b/>
          <w:sz w:val="24"/>
        </w:rPr>
        <w:t>Relevancia del prediagnóstico asistido:</w:t>
      </w:r>
      <w:r>
        <w:rPr>
          <w:rFonts w:ascii="Times New Roman" w:hAnsi="Times New Roman"/>
          <w:sz w:val="24"/>
        </w:rPr>
        <w:t xml:space="preserve"> La subordinación del agente a un rol de asistente pericial supervisado preserva la autoridad pedagógica docente, favoreciendo una retroalimentación formativa contextualizada y sometida a revisión ética y pedagógica humana.</w:t>
      </w:r>
    </w:p>
    <w:p>
      <w:pPr>
        <w:spacing w:line="240" w:lineRule="auto" w:after="120" w:before="0"/>
      </w:pPr>
      <w:r>
        <w:rPr>
          <w:rFonts w:ascii="Times New Roman" w:hAnsi="Times New Roman"/>
          <w:sz w:val="24"/>
        </w:rPr>
        <w:t xml:space="preserve">3. </w:t>
      </w:r>
      <w:r>
        <w:rPr>
          <w:rFonts w:ascii="Times New Roman" w:hAnsi="Times New Roman"/>
          <w:b/>
          <w:sz w:val="24"/>
        </w:rPr>
        <w:t>Identificación de la brecha instrumental:</w:t>
      </w:r>
      <w:r>
        <w:rPr>
          <w:rFonts w:ascii="Times New Roman" w:hAnsi="Times New Roman"/>
          <w:sz w:val="24"/>
        </w:rPr>
        <w:t xml:space="preserve"> El estudio identificó la fricción asociada con Git y la consola como el principal cuello de botella observado durante el taller, respaldando la conveniencia de desarrollar interfaces visuales y recursos desacoplados que faciliten una apropiación pedagógica gradual.</w:t>
      </w:r>
    </w:p>
    <w:p>
      <w:pPr>
        <w:spacing w:line="240" w:lineRule="auto" w:after="120" w:before="0"/>
      </w:pPr>
      <w:r>
        <w:rPr>
          <w:rFonts w:ascii="Times New Roman" w:hAnsi="Times New Roman"/>
          <w:sz w:val="24"/>
        </w:rPr>
        <w:t>Como líneas de trabajo futuro se plantean:</w:t>
      </w:r>
    </w:p>
    <w:p>
      <w:pPr>
        <w:spacing w:line="240" w:lineRule="auto" w:after="120" w:before="0"/>
      </w:pPr>
      <w:r>
        <w:rPr>
          <w:rFonts w:ascii="Times New Roman" w:hAnsi="Times New Roman"/>
          <w:sz w:val="24"/>
        </w:rPr>
        <w:t>- El desarrollo de estudios cuasiexperimentales con seguimiento temporal y grupos de control para medir el impacto de la retroalimentación asistida sobre el rendimiento académico final de los estudiantes.</w:t>
      </w:r>
    </w:p>
    <w:p>
      <w:pPr>
        <w:spacing w:line="240" w:lineRule="auto" w:after="120" w:before="0"/>
      </w:pPr>
      <w:r>
        <w:rPr>
          <w:rFonts w:ascii="Times New Roman" w:hAnsi="Times New Roman"/>
          <w:sz w:val="24"/>
        </w:rPr>
        <w:t>- La evaluación de plataformas educativas e interfaces gráficas simplificadas que permitan operar con el protocolo MCP reduciendo la fricción de consola detectada.</w:t>
      </w:r>
    </w:p>
    <w:p>
      <w:pPr>
        <w:spacing w:line="240" w:lineRule="auto" w:after="120" w:before="0"/>
      </w:pPr>
      <w:r>
        <w:rPr>
          <w:rFonts w:ascii="Times New Roman" w:hAnsi="Times New Roman"/>
          <w:sz w:val="24"/>
        </w:rPr>
        <w:t>- La profundización en estudios de concordancia interjueces para cuantificar la consistencia evaluativa alcanzada mediante el uso de especificaciones matriciales formales.</w:t>
      </w:r>
    </w:p>
    <w:p>
      <w:pPr>
        <w:spacing w:before="280" w:after="120"/>
        <w:jc w:val="center"/>
      </w:pPr>
      <w:r>
        <w:rPr>
          <w:rFonts w:ascii="Times New Roman" w:hAnsi="Times New Roman"/>
          <w:b/>
          <w:sz w:val="24"/>
        </w:rPr>
        <w:t>6. DECLARACIONES OBLIGATORIAS</w:t>
      </w:r>
    </w:p>
    <w:p>
      <w:pPr>
        <w:spacing w:before="200" w:after="80"/>
        <w:jc w:val="left"/>
      </w:pPr>
      <w:r>
        <w:rPr>
          <w:rFonts w:ascii="Times New Roman" w:hAnsi="Times New Roman"/>
          <w:b/>
          <w:sz w:val="24"/>
        </w:rPr>
        <w:t>Declaración de financiamiento</w:t>
      </w:r>
    </w:p>
    <w:p>
      <w:pPr>
        <w:spacing w:line="240" w:lineRule="auto" w:after="120" w:before="0"/>
      </w:pPr>
      <w:r>
        <w:rPr>
          <w:rFonts w:ascii="Times New Roman" w:hAnsi="Times New Roman"/>
          <w:sz w:val="24"/>
        </w:rPr>
        <w:t>La información identificatoria sobre la fuente institucional de financiamiento se ha omitido temporalmente para preservar la evaluación a doble ciego y fue comunicada al Comité Editorial mediante la plataforma. Se incorporará en la versión aceptada.</w:t>
      </w:r>
    </w:p>
    <w:p>
      <w:pPr>
        <w:spacing w:before="200" w:after="80"/>
        <w:jc w:val="left"/>
      </w:pPr>
      <w:r>
        <w:rPr>
          <w:rFonts w:ascii="Times New Roman" w:hAnsi="Times New Roman"/>
          <w:b/>
          <w:sz w:val="24"/>
        </w:rPr>
        <w:t>Declaración sobre el uso de inteligencia artificial</w:t>
      </w:r>
    </w:p>
    <w:p>
      <w:pPr>
        <w:spacing w:line="240" w:lineRule="auto" w:after="120" w:before="0"/>
      </w:pPr>
      <w:r>
        <w:rPr>
          <w:rFonts w:ascii="Times New Roman" w:hAnsi="Times New Roman"/>
          <w:sz w:val="24"/>
        </w:rPr>
        <w:t>Durante la preparación de este trabajo, los autores utilizaron Antigravity IDE y Claude 3.7 Sonnet para asistir en la organización preliminar del texto, la revisión gramatical del manuscrito en español y la traducción del resumen al inglés. Los autores revisaron y editaron críticamente el contenido generado o reformulado, verificaron las referencias y los datos informados, y asumen plena responsabilidad por el contenido final de la publicación.</w:t>
      </w:r>
    </w:p>
    <w:p>
      <w:pPr>
        <w:spacing w:before="200" w:after="80"/>
        <w:jc w:val="left"/>
      </w:pPr>
      <w:r>
        <w:rPr>
          <w:rFonts w:ascii="Times New Roman" w:hAnsi="Times New Roman"/>
          <w:b/>
          <w:sz w:val="24"/>
        </w:rPr>
        <w:t>Consideraciones éticas</w:t>
      </w:r>
    </w:p>
    <w:p>
      <w:pPr>
        <w:spacing w:line="240" w:lineRule="auto" w:after="120" w:before="0"/>
      </w:pPr>
      <w:r>
        <w:rPr>
          <w:rFonts w:ascii="Times New Roman" w:hAnsi="Times New Roman"/>
          <w:sz w:val="24"/>
        </w:rPr>
        <w:t>La investigación analizó registros agregados de asistencia, métricas técnicas anonimizadas y notas de campo elaboradas durante una actividad formativa voluntaria. Los participantes fueron informados previamente sobre el propósito investigativo de la experiencia, el carácter voluntario de su participación y el tratamiento agregado de los resultados. No se recopilaron datos personales sensibles ni se publicaron identificadores que permitieran vincular los resultados con participantes individuales. La actividad no tuvo consecuencias académicas ni evaluativas. El estudio no contó con evaluación previa de un comité de ética institucional, circunstancia que constituye una limitación del diseño y que deberá considerarse en futuras implementaciones.</w:t>
      </w:r>
    </w:p>
    <w:p>
      <w:pPr>
        <w:spacing w:before="280" w:after="120"/>
        <w:jc w:val="center"/>
      </w:pPr>
      <w:r>
        <w:rPr>
          <w:rFonts w:ascii="Times New Roman" w:hAnsi="Times New Roman"/>
          <w:b/>
          <w:sz w:val="24"/>
        </w:rPr>
        <w:t>7. AGRADECIMIENTOS</w:t>
      </w:r>
    </w:p>
    <w:p>
      <w:pPr>
        <w:spacing w:line="240" w:lineRule="auto" w:after="120" w:before="0"/>
      </w:pPr>
      <w:r>
        <w:rPr>
          <w:rFonts w:ascii="Times New Roman" w:hAnsi="Times New Roman"/>
          <w:i/>
          <w:sz w:val="24"/>
        </w:rPr>
        <w:t>(Esta sección se incorporará formalmente tras la culminación del proceso de evaluación por pares a doble ciego).</w:t>
      </w:r>
    </w:p>
    <w:p>
      <w:pPr>
        <w:spacing w:before="280" w:after="120"/>
        <w:jc w:val="center"/>
      </w:pPr>
      <w:r>
        <w:rPr>
          <w:rFonts w:ascii="Times New Roman" w:hAnsi="Times New Roman"/>
          <w:b/>
          <w:sz w:val="24"/>
        </w:rPr>
        <w:t>8. REFERENCIAS BIBLIOGRÁFICAS</w:t>
      </w:r>
    </w:p>
    <w:p>
      <w:pPr>
        <w:spacing w:line="240" w:lineRule="auto" w:after="120" w:before="0"/>
      </w:pPr>
      <w:r>
        <w:rPr>
          <w:rFonts w:ascii="Times New Roman" w:hAnsi="Times New Roman"/>
          <w:sz w:val="24"/>
        </w:rPr>
        <w:t xml:space="preserve">Anthropic. (2024). </w:t>
      </w:r>
      <w:r>
        <w:rPr>
          <w:rFonts w:ascii="Times New Roman" w:hAnsi="Times New Roman"/>
          <w:i/>
          <w:sz w:val="24"/>
        </w:rPr>
        <w:t>Model Context Protocol: An open standard for connecting AI models to data sources</w:t>
      </w:r>
      <w:r>
        <w:rPr>
          <w:rFonts w:ascii="Times New Roman" w:hAnsi="Times New Roman"/>
          <w:sz w:val="24"/>
        </w:rPr>
        <w:t>. Anthropic Engineering Blog. https://www.anthropic.com/news/model-context-protocol</w:t>
      </w:r>
    </w:p>
    <w:p>
      <w:pPr>
        <w:spacing w:line="240" w:lineRule="auto" w:after="120" w:before="0"/>
      </w:pPr>
      <w:r>
        <w:rPr>
          <w:rFonts w:ascii="Times New Roman" w:hAnsi="Times New Roman"/>
          <w:sz w:val="24"/>
        </w:rPr>
        <w:t xml:space="preserve">Becker, B. A., Denny, P., Finnie-Ansley, J., Luxton-Reilly, A., Prather, J., &amp; Santos, E. A. (2023). Programming is hard—or at least it used to be: Educational opportunities and challenges of AI code generation. En </w:t>
      </w:r>
      <w:r>
        <w:rPr>
          <w:rFonts w:ascii="Times New Roman" w:hAnsi="Times New Roman"/>
          <w:i/>
          <w:sz w:val="24"/>
        </w:rPr>
        <w:t>Proceedings of the 54th ACM Technical Symposium on Computer Science Education V. 1</w:t>
      </w:r>
      <w:r>
        <w:rPr>
          <w:rFonts w:ascii="Times New Roman" w:hAnsi="Times New Roman"/>
          <w:sz w:val="24"/>
        </w:rPr>
        <w:t xml:space="preserve"> (SIGCSE 2023) (pp. 500-506). Association for Computing Machinery. https://doi.org/10.1145/3545945.3569759</w:t>
      </w:r>
    </w:p>
    <w:p>
      <w:pPr>
        <w:spacing w:line="240" w:lineRule="auto" w:after="120" w:before="0"/>
      </w:pPr>
      <w:r>
        <w:rPr>
          <w:rFonts w:ascii="Times New Roman" w:hAnsi="Times New Roman"/>
          <w:sz w:val="24"/>
        </w:rPr>
        <w:t xml:space="preserve">Black, P., &amp; Wiliam, D. (1998). Assessment and classroom learning. </w:t>
      </w:r>
      <w:r>
        <w:rPr>
          <w:rFonts w:ascii="Times New Roman" w:hAnsi="Times New Roman"/>
          <w:i/>
          <w:sz w:val="24"/>
        </w:rPr>
        <w:t>Assessment in Education: Principles, Policy &amp; Practice, 5</w:t>
      </w:r>
      <w:r>
        <w:rPr>
          <w:rFonts w:ascii="Times New Roman" w:hAnsi="Times New Roman"/>
          <w:sz w:val="24"/>
        </w:rPr>
        <w:t>(1), 7-74. https://doi.org/10.1080/0969595980050102</w:t>
      </w:r>
    </w:p>
    <w:p>
      <w:pPr>
        <w:spacing w:line="240" w:lineRule="auto" w:after="120" w:before="0"/>
      </w:pPr>
      <w:r>
        <w:rPr>
          <w:rFonts w:ascii="Times New Roman" w:hAnsi="Times New Roman"/>
          <w:sz w:val="24"/>
        </w:rPr>
        <w:t xml:space="preserve">Denny, P., Prather, J., Becker, B. A., Finnie-Ansley, J., Blum, A., Luxton-Reilly, A., MacNeil, S., Petersen, A., Reeves, M., &amp; Santos, E. A. (2024). Computing education in the era of generative AI. </w:t>
      </w:r>
      <w:r>
        <w:rPr>
          <w:rFonts w:ascii="Times New Roman" w:hAnsi="Times New Roman"/>
          <w:i/>
          <w:sz w:val="24"/>
        </w:rPr>
        <w:t>Communications of the ACM, 67</w:t>
      </w:r>
      <w:r>
        <w:rPr>
          <w:rFonts w:ascii="Times New Roman" w:hAnsi="Times New Roman"/>
          <w:sz w:val="24"/>
        </w:rPr>
        <w:t>(2), 56-67. https://doi.org/10.1145/3624720</w:t>
      </w:r>
    </w:p>
    <w:p>
      <w:pPr>
        <w:spacing w:line="240" w:lineRule="auto" w:after="120" w:before="0"/>
      </w:pPr>
      <w:r>
        <w:rPr>
          <w:rFonts w:ascii="Times New Roman" w:hAnsi="Times New Roman"/>
          <w:sz w:val="24"/>
        </w:rPr>
        <w:t xml:space="preserve">Finnie-Ansley, J., Denny, P., Becker, B. A., Luxton-Reilly, A., &amp; Prather, J. (2022). The robots are coming: Exploring the implications of OpenAI Codex on introductory programming. En </w:t>
      </w:r>
      <w:r>
        <w:rPr>
          <w:rFonts w:ascii="Times New Roman" w:hAnsi="Times New Roman"/>
          <w:i/>
          <w:sz w:val="24"/>
        </w:rPr>
        <w:t>Proceedings of the 24th Australasian Computing Education Conference</w:t>
      </w:r>
      <w:r>
        <w:rPr>
          <w:rFonts w:ascii="Times New Roman" w:hAnsi="Times New Roman"/>
          <w:sz w:val="24"/>
        </w:rPr>
        <w:t xml:space="preserve"> (ACE '22) (pp. 10-19). Association for Computing Machinery. https://doi.org/10.1145/3511861.3511863</w:t>
      </w:r>
    </w:p>
    <w:p>
      <w:pPr>
        <w:spacing w:line="240" w:lineRule="auto" w:after="120" w:before="0"/>
      </w:pPr>
      <w:r>
        <w:rPr>
          <w:rFonts w:ascii="Times New Roman" w:hAnsi="Times New Roman"/>
          <w:sz w:val="24"/>
        </w:rPr>
        <w:t xml:space="preserve">Lau, S., &amp; Guo, P. J. (2023). From "ban it till we understand it" to "resistance is futile": How university programming instructors plan to adapt as more students use AI code generation and explanation tools such as ChatGPT and GitHub Copilot. En </w:t>
      </w:r>
      <w:r>
        <w:rPr>
          <w:rFonts w:ascii="Times New Roman" w:hAnsi="Times New Roman"/>
          <w:i/>
          <w:sz w:val="24"/>
        </w:rPr>
        <w:t>Proceedings of the 2023 ACM Conference on International Computing Education Research V. 1</w:t>
      </w:r>
      <w:r>
        <w:rPr>
          <w:rFonts w:ascii="Times New Roman" w:hAnsi="Times New Roman"/>
          <w:sz w:val="24"/>
        </w:rPr>
        <w:t xml:space="preserve"> (ICER '23) (pp. 106-121). Association for Computing Machinery. https://doi.org/10.1145/3568813.3600138</w:t>
      </w:r>
    </w:p>
    <w:p>
      <w:pPr>
        <w:spacing w:line="240" w:lineRule="auto" w:after="120" w:before="0"/>
      </w:pPr>
      <w:r>
        <w:rPr>
          <w:rFonts w:ascii="Times New Roman" w:hAnsi="Times New Roman"/>
          <w:sz w:val="24"/>
        </w:rPr>
        <w:t xml:space="preserve">OWASP. (2025). </w:t>
      </w:r>
      <w:r>
        <w:rPr>
          <w:rFonts w:ascii="Times New Roman" w:hAnsi="Times New Roman"/>
          <w:i/>
          <w:sz w:val="24"/>
        </w:rPr>
        <w:t>Model Context Protocol (MCP) Security Cheat Sheet</w:t>
      </w:r>
      <w:r>
        <w:rPr>
          <w:rFonts w:ascii="Times New Roman" w:hAnsi="Times New Roman"/>
          <w:sz w:val="24"/>
        </w:rPr>
        <w:t>. Open Web Application Security Project. https://cheatsheetseries.owasp.org/cheatsheets/MCP_Security_Cheat_Sheet.html</w:t>
      </w:r>
    </w:p>
    <w:p>
      <w:pPr>
        <w:spacing w:line="240" w:lineRule="auto" w:after="120" w:before="0"/>
      </w:pPr>
      <w:r>
        <w:rPr>
          <w:rFonts w:ascii="Times New Roman" w:hAnsi="Times New Roman"/>
          <w:sz w:val="24"/>
        </w:rPr>
        <w:t xml:space="preserve">Shute, V. J. (2008). Focus on formative feedback. </w:t>
      </w:r>
      <w:r>
        <w:rPr>
          <w:rFonts w:ascii="Times New Roman" w:hAnsi="Times New Roman"/>
          <w:i/>
          <w:sz w:val="24"/>
        </w:rPr>
        <w:t>Review of Educational Research, 78</w:t>
      </w:r>
      <w:r>
        <w:rPr>
          <w:rFonts w:ascii="Times New Roman" w:hAnsi="Times New Roman"/>
          <w:sz w:val="24"/>
        </w:rPr>
        <w:t>(1), 153-189. https://doi.org/10.3102/0034654307313795</w:t>
      </w:r>
    </w:p>
    <w:p>
      <w:pPr>
        <w:spacing w:line="240" w:lineRule="auto" w:after="120" w:before="0"/>
      </w:pPr>
      <w:r>
        <w:rPr>
          <w:rFonts w:ascii="Times New Roman" w:hAnsi="Times New Roman"/>
          <w:sz w:val="24"/>
        </w:rPr>
        <w:t xml:space="preserve">Wang, F., &amp; Hannafin, M. J. (2005). Design-based research and technology-enhanced learning environments. </w:t>
      </w:r>
      <w:r>
        <w:rPr>
          <w:rFonts w:ascii="Times New Roman" w:hAnsi="Times New Roman"/>
          <w:i/>
          <w:sz w:val="24"/>
        </w:rPr>
        <w:t>Educational Technology Research and Development, 53</w:t>
      </w:r>
      <w:r>
        <w:rPr>
          <w:rFonts w:ascii="Times New Roman" w:hAnsi="Times New Roman"/>
          <w:sz w:val="24"/>
        </w:rPr>
        <w:t>(4), 5-23. https://doi.org/10.1007/BF02504682</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Artículo Original - DIFUSIONES</dc:title>
  <dc:subject/>
  <dc:creator/>
  <cp:keywords/>
  <dc:description/>
  <cp:lastModifiedBy/>
  <cp:revision>1</cp:revision>
  <dcterms:created xsi:type="dcterms:W3CDTF">2013-12-23T23:15:00Z</dcterms:created>
  <dcterms:modified xsi:type="dcterms:W3CDTF">2013-12-23T23:15:00Z</dcterms:modified>
  <cp:category/>
</cp:coreProperties>
</file>