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6"/>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6"/>
        </w:rPr>
        <w:t>INTEGRATION OF ARTIFICIAL INTELLIGENCE AGENTS AND MCP PROTOCOL IN UNIVERSITY CONTINUOUS ASSESSMENT: TECHNICAL ARCHITECTURE AND TEACHER TRANSFER EXPERIENCE</w:t>
      </w:r>
    </w:p>
    <w:p>
      <w:pPr>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trabajo tuvo como objetivo diseñar, implementar y evaluar preliminarmente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así como analizar las condiciones de transferibilidad de dicha propuesta en una experiencia de capacitación docente. Metodológicamente, se adoptó un enfoque de Investigación Basada en el Diseño (DBR) estructurado en tres fases secuenciales: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docentes), pilotaje curricular en asignaturas universitarias de programación y desarrollo de un taller intensivo de transferencia de diez horas reloj. La muestra estuvo constituida por 70 participantes sobre 80 personas inscriptas (tasa de asistencia del 87,5 %), integrada por profesores universitarios de ingeniería en informática y estudiantes avanzados de profesorado y licenciatura en informática educativa. La recolección de datos combinó telemetría del repositorio plantilla, registros de ejecución de integración continua en GitHub Actions y notas de campo estructuradas. Los resultados mostraron una amplia participación en los recursos interactivos desacoplados; no obstante, únicamente 1 de los 70 participantes completó de forma autónoma el flujo de integración continua durante 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empirical study aimed to design, implement, and preliminarily evaluate a sociotechnical architecture based on the Model Context Protocol (MCP) and the active Human-in-the-Loop (HITL) principle to assist continuous formative assessment, as well as to analyze the transferability conditions of this approach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study sample comprised 70 attendees out of 80 registered individuals (an 87.5% attendance rate), consisting of computer engineering faculty and advanced pre-service teachers from educational informatics degree programs. Data collection combined template repository telemetry metrics, continuous integration execution logs on GitHub Actions, and structured qualitative field observation notes. Findings showed broad participation in the decoupled interactive resources;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estudio se planteó como objetivo general: </w:t>
      </w:r>
      <w:r>
        <w:rPr>
          <w:rFonts w:ascii="Times New Roman" w:hAnsi="Times New Roman"/>
          <w:b/>
          <w:sz w:val="24"/>
        </w:rPr>
        <w:t>diseñar, implementar y evaluar preliminarmente una arquitectura sociotécnica basada en MCP y supervisión docente activa para asistir la evaluación continua en asignaturas universitarias de programación, así como analizar las condiciones de transferibilidad de dicha propuesta en una experiencia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spacing w:before="280" w:after="120"/>
        <w:jc w:val="center"/>
      </w:pPr>
      <w:r>
        <w:rPr>
          <w:rFonts w:ascii="Times New Roman" w:hAnsi="Times New Roman"/>
          <w:b/>
          <w:sz w:val="24"/>
        </w:rPr>
        <w:t>2. MÉTODOS</w:t>
      </w:r>
    </w:p>
    <w:p>
      <w:pPr>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iniciación a la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spacing w:before="200" w:after="80"/>
        <w:jc w:val="left"/>
      </w:pPr>
      <w:r>
        <w:rPr>
          <w:rFonts w:ascii="Times New Roman" w:hAnsi="Times New Roman"/>
          <w:b/>
          <w:sz w:val="24"/>
        </w:rPr>
        <w:t>2.3. Participantes</w:t>
      </w:r>
    </w:p>
    <w:p>
      <w:pPr>
        <w:spacing w:line="240" w:lineRule="auto" w:after="120" w:before="0"/>
      </w:pPr>
      <w:r>
        <w:rPr>
          <w:rFonts w:ascii="Times New Roman" w:hAnsi="Times New Roman"/>
          <w:sz w:val="24"/>
        </w:rPr>
        <w:t>La convocatoria al taller de capacitación fue abierta, institucional y de carácter voluntario. Se registraron 80 personas inscriptas, de las cuales 70 asistieron activamente a las sesiones de trabajo, lo que representó una tasa de asistencia del 87,5 %.</w:t>
      </w:r>
    </w:p>
    <w:p>
      <w:pPr>
        <w:spacing w:line="240" w:lineRule="auto" w:after="120" w:before="0"/>
      </w:pPr>
      <w:r>
        <w:rPr>
          <w:rFonts w:ascii="Times New Roman" w:hAnsi="Times New Roman"/>
          <w:sz w:val="24"/>
        </w:rPr>
        <w:t>La muestra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Registros de integración continua y actividad en repositorios:</w:t>
      </w:r>
      <w:r>
        <w:rPr>
          <w:rFonts w:ascii="Times New Roman" w:hAnsi="Times New Roman"/>
          <w:sz w:val="24"/>
        </w:rPr>
        <w:t xml:space="preserve"> Seguimiento de ejecuciones en GitHub Actions y verificación en aula del acceso, clonación y confirmaciones de cambios (</w:t>
      </w:r>
      <w:r>
        <w:rPr>
          <w:rFonts w:ascii="Times New Roman" w:hAnsi="Times New Roman"/>
          <w:i/>
          <w:sz w:val="24"/>
        </w:rPr>
        <w:t>commits</w:t>
      </w:r>
      <w:r>
        <w:rPr>
          <w:rFonts w:ascii="Times New Roman" w:hAnsi="Times New Roman"/>
          <w:sz w:val="24"/>
        </w:rPr>
        <w:t>) generados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por dos integrantes del equipo investigador a partir del conjunto completo de notas de campo e incidencias registradas durante ambas jornadas; posteriormente, los códigos afines se agruparon en los tres patrones temáticos informados.</w:t>
      </w:r>
    </w:p>
    <w:p>
      <w:pPr>
        <w:spacing w:before="200" w:after="80"/>
        <w:jc w:val="left"/>
      </w:pPr>
      <w:r>
        <w:rPr>
          <w:rFonts w:ascii="Times New Roman" w:hAnsi="Times New Roman"/>
          <w:b/>
          <w:sz w:val="24"/>
        </w:rPr>
        <w:t>2.7. Consideraciones éticas</w:t>
      </w:r>
    </w:p>
    <w:p>
      <w:pPr>
        <w:spacing w:line="240" w:lineRule="auto" w:after="120" w:before="0"/>
      </w:pPr>
      <w:r>
        <w:rPr>
          <w:rFonts w:ascii="Times New Roman" w:hAnsi="Times New Roman"/>
          <w:sz w:val="24"/>
        </w:rPr>
        <w:t>El estudio utilizó registros agregados de asistencia, métricas técnicas anonimizadas y notas de campo procedentes de una actividad formativa voluntaria. Antes del desarrollo del taller, los participantes fueron informados sobre el propósito pedagógico e investigativo de la experiencia y sobre el tratamiento agregado de los resultados. No se recopilaron nombres de usuario, datos personales sensibles ni información que permitiera vincular los resultados publicados con participantes individuales. La actividad no tuvo consecuencias académicas ni evaluativas. Debido a su carácter de innovación educativa desarrollada en un contexto formativo ordinario, el estudio no fue sometido a evaluación previa por un comité de ética institucional.</w:t>
      </w:r>
    </w:p>
    <w:p>
      <w:pPr>
        <w:spacing w:before="280" w:after="120"/>
        <w:jc w:val="center"/>
      </w:pPr>
      <w:r>
        <w:rPr>
          <w:rFonts w:ascii="Times New Roman" w:hAnsi="Times New Roman"/>
          <w:b/>
          <w:sz w:val="24"/>
        </w:rPr>
        <w:t>3. RESULTADOS</w:t>
      </w:r>
    </w:p>
    <w:p>
      <w:pPr>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Progresión de los participantes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Nivel de progresión técnica</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CI/CD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Las categorías no representan etapas mutuamente excluyentes ni necesariamente acumulativas. El cuestionario web interactivo también estuvo disponible mediante acceso directo desde el navegador (sin requerir clonación previa del repositorio). Los datos de ejecuciones de integración continua se obtuvieron de los registros de GitHub Actions. El acceso al repositorio, la clonación, la ejecución local de scripts y la realización de confirmaciones de cambios fueron registrados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del taller.</w:t>
      </w:r>
    </w:p>
    <w:p>
      <w:pPr>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El principal factor asociado con la interrupción de la progresión práctica no estuvo relacionado con consultas sobre la comprensión de MCP, sino con incidentes instrumentales registrados durante el uso de la terminal: errores en la autenticación de cuentas mediante tokens de acceso personal en GitHub, fallas de sintaxis en comandos de consola y desorientación ante mensajes de conflicto entre ramas locales y remotas.</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En las notas de campo se registraron casos reiterados de participantes que siguieron las demostraciones del instructor en pantalla, tomaron notas metodológicas y postergaron la configuración en sus propios equipos para una instancia posterior sin presión sincrónica.</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cuando los participantes interactuaron con los widgets web en HTML/JS. Al no requerir dependencias de compilación ni ejecución de comandos de consola, estos recursos permitieron a los asistentes validar conceptos algorítmicos y de evaluación sin experimentar bloqueos técnicos.</w:t>
      </w:r>
    </w:p>
    <w:p>
      <w:pPr>
        <w:spacing w:before="280" w:after="120"/>
        <w:jc w:val="center"/>
      </w:pPr>
      <w:r>
        <w:rPr>
          <w:rFonts w:ascii="Times New Roman" w:hAnsi="Times New Roman"/>
          <w:b/>
          <w:sz w:val="24"/>
        </w:rPr>
        <w:t>4. DISCUSIÓN</w:t>
      </w:r>
    </w:p>
    <w:p>
      <w:pPr>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asistencia e interés manifestado por la cohorte (87,5 %) y la baja culminación sincrónica del pipeline automatizado en GitHub Actions (1,4 %) constituye el hallazgo empírico más relevante de la experiencia.</w:t>
      </w:r>
    </w:p>
    <w:p>
      <w:pPr>
        <w:spacing w:line="240" w:lineRule="auto" w:after="120" w:before="0"/>
      </w:pPr>
      <w:r>
        <w:rPr>
          <w:rFonts w:ascii="Times New Roman" w:hAnsi="Times New Roman"/>
          <w:sz w:val="24"/>
        </w:rPr>
        <w:t>Los resultados de este estudio sugieren que la incorporación simultánea de herramientas profesionales de integración continua y control de versiones puede introducir una carga instrumental secundaria que compite con los objetivos pedagógicos centrales del taller. Cuando se intenta capacitar en el diseño de agentes de IA y se exige simultáneamente el dominio de flujos completos de Git y terminal, la fricción instrumental puede dificultar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labor docente de detección de afirmaciones erróneas y redujo el riesgo de aceptar alucinaciones evaluativas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Las notas de campo sugirieron diferencias de énfasis entre ambos perfiles: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imprescindible para evitar tanto el determinismo técnico como la adopción pedagógica ingenua de la IA.</w:t>
      </w:r>
    </w:p>
    <w:p>
      <w:pPr>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Muestra intencional y localizada:</w:t>
      </w:r>
      <w:r>
        <w:rPr>
          <w:rFonts w:ascii="Times New Roman" w:hAnsi="Times New Roman"/>
          <w:sz w:val="24"/>
        </w:rPr>
        <w:t xml:space="preserve"> La población del taller estuvo conformada por una muestra no probabilística de participantes pertenecientes a dos instituciones de una misma región, lo que restringe la generalización de los resultados.</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pedagógica:</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validando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spacing w:before="280" w:after="120"/>
        <w:jc w:val="center"/>
      </w:pPr>
      <w:r>
        <w:rPr>
          <w:rFonts w:ascii="Times New Roman" w:hAnsi="Times New Roman"/>
          <w:b/>
          <w:sz w:val="24"/>
        </w:rPr>
        <w:t>6. DECLARACIONES OBLIGATORIAS</w:t>
      </w:r>
    </w:p>
    <w:p>
      <w:pPr>
        <w:spacing w:before="200" w:after="80"/>
        <w:jc w:val="left"/>
      </w:pPr>
      <w:r>
        <w:rPr>
          <w:rFonts w:ascii="Times New Roman" w:hAnsi="Times New Roman"/>
          <w:b/>
          <w:sz w:val="24"/>
        </w:rPr>
        <w:t>Declaración de financiamiento</w:t>
      </w:r>
    </w:p>
    <w:p>
      <w:pPr>
        <w:spacing w:line="240" w:lineRule="auto" w:after="120" w:before="0"/>
      </w:pPr>
      <w:r>
        <w:rPr>
          <w:rFonts w:ascii="Times New Roman" w:hAnsi="Times New Roman"/>
          <w:sz w:val="24"/>
        </w:rPr>
        <w:t>La información completa sobre la entidad de financiamiento, convocatoria y código del proyecto institucional fue suministrada al Comité Editorial en la sección de metadatos de la plataforma y se incorporará al manuscrito tras la finalización del proceso de evaluación por pares.</w:t>
      </w:r>
    </w:p>
    <w:p>
      <w:pPr>
        <w:spacing w:before="200" w:after="80"/>
        <w:jc w:val="left"/>
      </w:pPr>
      <w:r>
        <w:rPr>
          <w:rFonts w:ascii="Times New Roman" w:hAnsi="Times New Roman"/>
          <w:b/>
          <w:sz w:val="24"/>
        </w:rPr>
        <w:t>Declaración sobre uso de inteligencia artificial</w:t>
      </w:r>
    </w:p>
    <w:p>
      <w:pPr>
        <w:spacing w:line="240" w:lineRule="auto" w:after="120" w:before="0"/>
      </w:pPr>
      <w:r>
        <w:rPr>
          <w:rFonts w:ascii="Times New Roman" w:hAnsi="Times New Roman"/>
          <w:sz w:val="24"/>
        </w:rPr>
        <w:t>Durante la preparación del manuscrito, los autores utilizaron el entorno Antigravity IDE y el modelo Claude 3.7 Sonnet para asistir en la organización preliminar del texto, la revisión gramatical de estilo académico en español y la traducción del resumen al inglés. Los autores redactaron, revisaron y editaron críticamente la totalidad del contenido conceptual, definieron el diseño metodológico, analizaron los datos empíricos de campo, verificaron las referencias bibliográficas y asumen total responsabilidad por el contenido de la publicación.</w:t>
      </w:r>
    </w:p>
    <w:p>
      <w:pPr>
        <w:spacing w:before="200" w:after="80"/>
        <w:jc w:val="left"/>
      </w:pPr>
      <w:r>
        <w:rPr>
          <w:rFonts w:ascii="Times New Roman" w:hAnsi="Times New Roman"/>
          <w:b/>
          <w:sz w:val="24"/>
        </w:rPr>
        <w:t>Aprobación ética</w:t>
      </w:r>
    </w:p>
    <w:p>
      <w:pPr>
        <w:spacing w:line="240" w:lineRule="auto" w:after="120" w:before="0"/>
      </w:pPr>
      <w:r>
        <w:rPr>
          <w:rFonts w:ascii="Times New Roman" w:hAnsi="Times New Roman"/>
          <w:sz w:val="24"/>
        </w:rPr>
        <w:t>El estudio utilizó registros agregados de asistencia, métricas técnicas anonimizadas y notas de campo procedentes de una actividad formativa voluntaria. Antes del desarrollo del taller, los participantes fueron informados sobre el propósito pedagógico e investigativo de la experiencia y sobre el tratamiento agregado de los resultados. No se recopilaron nombres de usuario, datos personales sensibles ni información que permitiera vincular los resultados publicados con participantes individuales. La actividad no tuvo consecuencias académicas ni evaluativas. Debido a su carácter de innovación educativa desarrollada en un contexto formativo ordinario, el estudio no fue sometido a evaluación previa por un comité de ética institucional.</w:t>
      </w:r>
    </w:p>
    <w:p>
      <w:pPr>
        <w:spacing w:before="280" w:after="120"/>
        <w:jc w:val="center"/>
      </w:pPr>
      <w:r>
        <w:rPr>
          <w:rFonts w:ascii="Times New Roman" w:hAnsi="Times New Roman"/>
          <w:b/>
          <w:sz w:val="24"/>
        </w:rPr>
        <w:t>7. AGRADECIMIENTOS</w:t>
      </w:r>
    </w:p>
    <w:p>
      <w:pPr>
        <w:spacing w:line="240" w:lineRule="auto" w:after="120" w:before="0"/>
      </w:pPr>
      <w:r>
        <w:rPr>
          <w:rFonts w:ascii="Times New Roman" w:hAnsi="Times New Roman"/>
          <w:i/>
          <w:sz w:val="24"/>
        </w:rPr>
        <w:t>(Esta sección se incorporará formalmente tras la culminación del proceso de evaluación por pares a doble ciego).</w:t>
      </w:r>
    </w:p>
    <w:p>
      <w:pPr>
        <w:spacing w:before="280" w:after="120"/>
        <w:jc w:val="center"/>
      </w:pPr>
      <w:r>
        <w:rPr>
          <w:rFonts w:ascii="Times New Roman" w:hAnsi="Times New Roman"/>
          <w:b/>
          <w:sz w:val="24"/>
        </w:rPr>
        <w:t>8.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Original - DIFUSIONES</dc:title>
  <dc:subject/>
  <dc:creator/>
  <cp:keywords/>
  <dc:description/>
  <cp:lastModifiedBy/>
  <cp:revision>1</cp:revision>
  <dcterms:created xsi:type="dcterms:W3CDTF">2013-12-23T23:15:00Z</dcterms:created>
  <dcterms:modified xsi:type="dcterms:W3CDTF">2013-12-23T23:15:00Z</dcterms:modified>
  <cp:category/>
</cp:coreProperties>
</file>