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sz w:val="24"/>
        </w:rPr>
        <w:t>INTEGRACIÓN DE AGENTES DE INTELIGENCIA ARTIFICIAL Y PROTOCOLO MCP EN LA EVALUACIÓN CONTINUA UNIVERSITARIA: ARQUITECTURA TÉCNICA Y EXPERIENCIA DE TRANSFERENCIA DOCENTE</w:t>
      </w:r>
    </w:p>
    <w:p>
      <w:pPr>
        <w:spacing w:before="280" w:after="160"/>
        <w:jc w:val="center"/>
      </w:pPr>
      <w:r>
        <w:rPr>
          <w:rFonts w:ascii="Times New Roman" w:hAnsi="Times New Roman"/>
          <w:b/>
          <w:sz w:val="24"/>
        </w:rPr>
        <w:t>INTEGRATION OF ARTIFICIAL INTELLIGENCE AGENTS AND THE MODEL CONTEXT PROTOCOL IN CONTINUOUS UNIVERSITY ASSESSMENT: TECHNICAL ARCHITECTURE AND A FACULTY PROFESSIONAL DEVELOPMENT EXPERIENCE</w:t>
      </w:r>
    </w:p>
    <w:p>
      <w:pPr>
        <w:spacing w:before="200" w:after="80"/>
        <w:jc w:val="left"/>
      </w:pPr>
      <w:r>
        <w:rPr>
          <w:rFonts w:ascii="Times New Roman" w:hAnsi="Times New Roman"/>
          <w:b/>
          <w:sz w:val="24"/>
        </w:rPr>
        <w:t>RESUMEN</w:t>
      </w:r>
    </w:p>
    <w:p>
      <w:pPr>
        <w:spacing w:line="240" w:lineRule="auto" w:after="120" w:before="0"/>
      </w:pPr>
      <w:r>
        <w:rPr>
          <w:rFonts w:ascii="Times New Roman" w:hAnsi="Times New Roman"/>
          <w:sz w:val="24"/>
        </w:rPr>
        <w:t>El avance acelerado de los Modelos de Lenguaje de Gran Escala (LLM) plantea desafíos sustanciales para las prácticas de evaluación en la enseñanza universitaria de la programación. Este artículo técnico presenta el diseño, implementación y validación preliminar de una arquitectura sociotécnica basada en el Protocolo de Contexto de Modelo (</w:t>
      </w:r>
      <w:r>
        <w:rPr>
          <w:rFonts w:ascii="Times New Roman" w:hAnsi="Times New Roman"/>
          <w:i/>
          <w:sz w:val="24"/>
        </w:rPr>
        <w:t>Model Context Protocol</w:t>
      </w:r>
      <w:r>
        <w:rPr>
          <w:rFonts w:ascii="Times New Roman" w:hAnsi="Times New Roman"/>
          <w:sz w:val="24"/>
        </w:rPr>
        <w:t>, MCP) y el principio de supervisión docente activa (</w:t>
      </w:r>
      <w:r>
        <w:rPr>
          <w:rFonts w:ascii="Times New Roman" w:hAnsi="Times New Roman"/>
          <w:i/>
          <w:sz w:val="24"/>
        </w:rPr>
        <w:t>Human-in-the-Loop</w:t>
      </w:r>
      <w:r>
        <w:rPr>
          <w:rFonts w:ascii="Times New Roman" w:hAnsi="Times New Roman"/>
          <w:sz w:val="24"/>
        </w:rPr>
        <w:t>, HITL) para asistir la evaluación formativa continua, analizando las condiciones de transferibilidad técnica en una experiencia de capacitación docente. Metodológicamente, se adoptó un enfoque de Investigación Basada en el Diseño (DBR) estructurado en tres fases: diseño de artefactos de gobernanza contextual en texto plano (</w:t>
      </w:r>
      <w:r>
        <w:rPr>
          <w:rFonts w:ascii="Consolas" w:hAnsi="Consolas"/>
          <w:sz w:val="21"/>
        </w:rPr>
        <w:t>AGENTS.md</w:t>
      </w:r>
      <w:r>
        <w:rPr>
          <w:rFonts w:ascii="Times New Roman" w:hAnsi="Times New Roman"/>
          <w:sz w:val="24"/>
        </w:rPr>
        <w:t xml:space="preserve">, </w:t>
      </w:r>
      <w:r>
        <w:rPr>
          <w:rFonts w:ascii="Consolas" w:hAnsi="Consolas"/>
          <w:sz w:val="21"/>
        </w:rPr>
        <w:t>MEMORY.md</w:t>
      </w:r>
      <w:r>
        <w:rPr>
          <w:rFonts w:ascii="Times New Roman" w:hAnsi="Times New Roman"/>
          <w:sz w:val="24"/>
        </w:rPr>
        <w:t>, rúbricas analíticas y especificaciones formales de habilidades), pilotaje curricular en asignaturas universitarias de programación y ejecución de un taller intensivo de transferencia de diez horas reloj. La cohorte de validación estuvo constituida por 70 participantes sobre 80 personas inscriptas (tasa de asistencia del 87,5 %), integrada por docentes de ingeniería en informática y estudiantes avanzados y graduados de profesorado y licenciatura en informática educativa. La recolección de datos combinó telemetría del repositorio plantilla, registros de ejecución de integración continua en GitHub Actions y notas de campo estructuradas. Los resultados mostraron una participación mayoritaria en el cuestionario web desacoplado; no obstante, únicamente 1 de los 70 participantes completó de forma autónoma el flujo de integración continua durante el taller. Este hallazgo evidencia una pronunciada brecha de instrumentación técnica (</w:t>
      </w:r>
      <w:r>
        <w:rPr>
          <w:rFonts w:ascii="Times New Roman" w:hAnsi="Times New Roman"/>
          <w:i/>
          <w:sz w:val="24"/>
        </w:rPr>
        <w:t>tooling gap</w:t>
      </w:r>
      <w:r>
        <w:rPr>
          <w:rFonts w:ascii="Times New Roman" w:hAnsi="Times New Roman"/>
          <w:sz w:val="24"/>
        </w:rPr>
        <w:t>) vinculada a la fricción operativa del control de versiones por consola. La principal limitación radica en el carácter exploratorio del estudio y la ausencia de mediciones basales estandarizadas. Se concluye que la arquitectura proporciona bases operativas viables para encauzar la IA hacia una asistencia formativa supervisada, requiriendo interfaces visuales accesibles para su adopción generalizada.</w:t>
      </w:r>
    </w:p>
    <w:p>
      <w:pPr>
        <w:spacing w:line="240" w:lineRule="auto" w:after="120" w:before="0"/>
      </w:pPr>
      <w:r>
        <w:rPr>
          <w:rFonts w:ascii="Times New Roman" w:hAnsi="Times New Roman"/>
          <w:b/>
          <w:sz w:val="24"/>
        </w:rPr>
        <w:t>Palabras clave:</w:t>
      </w:r>
      <w:r>
        <w:rPr>
          <w:rFonts w:ascii="Times New Roman" w:hAnsi="Times New Roman"/>
          <w:sz w:val="24"/>
        </w:rPr>
        <w:t xml:space="preserve"> Evaluación formativa, Agentes de inteligencia artificial, Protocolo de contexto de modelo (MCP), Formación docente, Educación en ciencias de la computación.</w:t>
      </w:r>
    </w:p>
    <w:p>
      <w:pPr>
        <w:spacing w:before="200" w:after="80"/>
        <w:jc w:val="left"/>
      </w:pPr>
      <w:r>
        <w:rPr>
          <w:rFonts w:ascii="Times New Roman" w:hAnsi="Times New Roman"/>
          <w:b/>
          <w:sz w:val="24"/>
        </w:rPr>
        <w:t>ABSTRACT</w:t>
      </w:r>
    </w:p>
    <w:p>
      <w:pPr>
        <w:spacing w:line="240" w:lineRule="auto" w:after="120" w:before="0"/>
      </w:pPr>
      <w:r>
        <w:rPr>
          <w:rFonts w:ascii="Times New Roman" w:hAnsi="Times New Roman"/>
          <w:sz w:val="24"/>
        </w:rPr>
        <w:t>The rapid advancement of Large Language Models (LLMs) poses substantial challenges for traditional assessment practices in university computer science and programming education. This technical paper presents the design, implementation, and preliminary validation of a sociotechnical architecture based on the open standard Model Context Protocol (MCP) and the active Human-in-the-Loop (HITL) principle to assist continuous formative assessment, analyzing its technical transferability conditions within a teacher professional development context. Methodologically, the research adopted a Design-Based Research (DBR) framework structured across three sequential phases: the design of plain-text contextual governance artifacts (</w:t>
      </w:r>
      <w:r>
        <w:rPr>
          <w:rFonts w:ascii="Consolas" w:hAnsi="Consolas"/>
          <w:sz w:val="21"/>
        </w:rPr>
        <w:t>AGENTS.md</w:t>
      </w:r>
      <w:r>
        <w:rPr>
          <w:rFonts w:ascii="Times New Roman" w:hAnsi="Times New Roman"/>
          <w:sz w:val="24"/>
        </w:rPr>
        <w:t xml:space="preserve">, </w:t>
      </w:r>
      <w:r>
        <w:rPr>
          <w:rFonts w:ascii="Consolas" w:hAnsi="Consolas"/>
          <w:sz w:val="21"/>
        </w:rPr>
        <w:t>MEMORY.md</w:t>
      </w:r>
      <w:r>
        <w:rPr>
          <w:rFonts w:ascii="Times New Roman" w:hAnsi="Times New Roman"/>
          <w:sz w:val="24"/>
        </w:rPr>
        <w:t>, analytical rubrics, and formal teaching skill specifications), curricular piloting in university programming courses, and the delivery of an intensive ten-hour teacher training workshop. The validation cohort comprised 70 attendees out of 80 registered individuals (an 87.5% attendance rate), consisting of computer engineering faculty along with advanced pre-service teachers and recent graduates from educational informatics degree programs. Data collection combined template repository telemetry metrics, continuous integration execution logs on GitHub Actions, and structured qualitative field observation notes. Findings showed majority participation in the decoupled web questionnaire; however, only 1 of the 70 participants autonomously completed the continuous integration pipeline during the workshop. This outcome highlights a pronounced technical tooling gap associated with the operational friction of command-line version control tools. The main limitation lies in the exploratory nature of the study and the absence of standardized baseline measurements. We conclude that the architecture establishes viable operational foundations to guide AI toward supervised formative assistance, though accessible visual interfaces are essential for widespread faculty adoption.</w:t>
      </w:r>
    </w:p>
    <w:p>
      <w:pPr>
        <w:spacing w:line="240" w:lineRule="auto" w:after="120" w:before="0"/>
      </w:pPr>
      <w:r>
        <w:rPr>
          <w:rFonts w:ascii="Times New Roman" w:hAnsi="Times New Roman"/>
          <w:b/>
          <w:sz w:val="24"/>
        </w:rPr>
        <w:t>Keywords:</w:t>
      </w:r>
      <w:r>
        <w:rPr>
          <w:rFonts w:ascii="Times New Roman" w:hAnsi="Times New Roman"/>
          <w:sz w:val="24"/>
        </w:rPr>
        <w:t xml:space="preserve"> Formative assessment, Artificial intelligence agents, Model Context Protocol (MCP), Teacher training, Computer science education.</w:t>
      </w:r>
    </w:p>
    <w:p>
      <w:pPr>
        <w:spacing w:before="280" w:after="120"/>
        <w:jc w:val="center"/>
      </w:pPr>
      <w:r>
        <w:rPr>
          <w:rFonts w:ascii="Times New Roman" w:hAnsi="Times New Roman"/>
          <w:b/>
          <w:sz w:val="24"/>
        </w:rPr>
        <w:t>1. INTRODUCCIÓN</w:t>
      </w:r>
    </w:p>
    <w:p>
      <w:pPr>
        <w:spacing w:line="240" w:lineRule="auto" w:after="120" w:before="0"/>
      </w:pPr>
      <w:r>
        <w:rPr>
          <w:rFonts w:ascii="Times New Roman" w:hAnsi="Times New Roman"/>
          <w:sz w:val="24"/>
        </w:rPr>
        <w:t>La masificación de los Modelos de Lenguaje de Gran Escala (LLM, por sus siglas en inglés) ha producido cambios sustanciales en la educación superior, con repercusiones inmediatas en las carreras de Ciencias de la Computación e Ingeniería en Informática (Becker et al., 2023; Denny et al., 2024). La capacidad demostrada por estos modelos para generar código sintáctica y semánticamente funcional, resolver problemas algorítmicos introductorios y explicar errores de depuración ha tensionado los esquemas tradicionales de evaluación sumativa basados en entregas asincrónicas de código fuente sin supervisión de procesos (Finnie-Ansley et al., 2022).</w:t>
      </w:r>
    </w:p>
    <w:p>
      <w:pPr>
        <w:spacing w:line="240" w:lineRule="auto" w:after="120" w:before="0"/>
      </w:pPr>
      <w:r>
        <w:rPr>
          <w:rFonts w:ascii="Times New Roman" w:hAnsi="Times New Roman"/>
          <w:sz w:val="24"/>
        </w:rPr>
        <w:t>Frente a esta situación, se observan dos respuestas institucionales contrastantes en el ámbito universitario. Por una parte, posturas restrictivas han procurado limitar el uso de herramientas generativas mediante normativas punitivas o el regreso exclusivo a exámenes manuscritos presenciales; tales medidas resultan de difícil sostenimiento práctico, distancian la formación académica de las prácticas profesionales contemporáneas de la ingeniería de software y no garantizan el desarrollo del pensamiento crítico (Denny et al., 2024). Por otra parte, aproximaciones de adopción informal han promovido la interacción libre mediante interfaces de chat comercial (</w:t>
      </w:r>
      <w:r>
        <w:rPr>
          <w:rFonts w:ascii="Times New Roman" w:hAnsi="Times New Roman"/>
          <w:i/>
          <w:sz w:val="24"/>
        </w:rPr>
        <w:t>prompts zero-shot</w:t>
      </w:r>
      <w:r>
        <w:rPr>
          <w:rFonts w:ascii="Times New Roman" w:hAnsi="Times New Roman"/>
          <w:sz w:val="24"/>
        </w:rPr>
        <w:t>), introduciendo riesgos asociados con la generación de afirmaciones técnicas inexactas (alucinaciones), la variabilidad de criterios evaluativos, la falta de reproducibilidad y una delegación no supervisada del juicio pedagógico en sistemas propietarios (Lau &amp; Guo, 2023).</w:t>
      </w:r>
    </w:p>
    <w:p>
      <w:pPr>
        <w:spacing w:line="240" w:lineRule="auto" w:after="120" w:before="0"/>
      </w:pPr>
      <w:r>
        <w:rPr>
          <w:rFonts w:ascii="Times New Roman" w:hAnsi="Times New Roman"/>
          <w:sz w:val="24"/>
        </w:rPr>
        <w:t>En la didáctica de la programación, la evaluación continua y formativa busca proporcionar retroalimentación (</w:t>
      </w:r>
      <w:r>
        <w:rPr>
          <w:rFonts w:ascii="Times New Roman" w:hAnsi="Times New Roman"/>
          <w:i/>
          <w:sz w:val="24"/>
        </w:rPr>
        <w:t>feedback</w:t>
      </w:r>
      <w:r>
        <w:rPr>
          <w:rFonts w:ascii="Times New Roman" w:hAnsi="Times New Roman"/>
          <w:sz w:val="24"/>
        </w:rPr>
        <w:t>) accionable, dialógica y andamiada que permita a los estudiantes identificar modelos mentales erróneos y refactorizar sus soluciones algorítmicas de manera iterativa (Black &amp; Wiliam, 1998; Shute, 2008). No obstante, en comisiones universitarias numerosas, la revisión exhaustiva y personalizada de entregas individuales impone una carga horaria que suele sobrepasar la disponibilidad del cuerpo docente.</w:t>
      </w:r>
    </w:p>
    <w:p>
      <w:pPr>
        <w:spacing w:line="240" w:lineRule="auto" w:after="120" w:before="0"/>
      </w:pPr>
      <w:r>
        <w:rPr>
          <w:rFonts w:ascii="Times New Roman" w:hAnsi="Times New Roman"/>
          <w:sz w:val="24"/>
        </w:rPr>
        <w:t>La emergencia de agentes de inteligencia artificial y la reciente formalización del Protocolo de Contexto de Modelo (</w:t>
      </w:r>
      <w:r>
        <w:rPr>
          <w:rFonts w:ascii="Times New Roman" w:hAnsi="Times New Roman"/>
          <w:i/>
          <w:sz w:val="24"/>
        </w:rPr>
        <w:t>Model Context Protocol</w:t>
      </w:r>
      <w:r>
        <w:rPr>
          <w:rFonts w:ascii="Times New Roman" w:hAnsi="Times New Roman"/>
          <w:sz w:val="24"/>
        </w:rPr>
        <w:t xml:space="preserve"> - MCP) ofrecen nuevas oportunidades para abordar este dilema (Anthropic, 2024). MCP es un estándar abierto de comunicación que permite estructurar la interoperabilidad entre modelos de razonamiento y fuentes externas de datos o herramientas locales (sistemas de archivos, analizadores estáticos o motores de pruebas). Esta característica técnica permite que un agente explore un entorno de desarrollo de forma estandarizada. Sin embargo, el protocolo por sí solo no garantiza pertinencia didáctica ni seguridad operativa si no está mediado por principios de Desarrollo Guiado por Especificaciones (</w:t>
      </w:r>
      <w:r>
        <w:rPr>
          <w:rFonts w:ascii="Times New Roman" w:hAnsi="Times New Roman"/>
          <w:i/>
          <w:sz w:val="24"/>
        </w:rPr>
        <w:t>Spec-Driven Development</w:t>
      </w:r>
      <w:r>
        <w:rPr>
          <w:rFonts w:ascii="Times New Roman" w:hAnsi="Times New Roman"/>
          <w:sz w:val="24"/>
        </w:rPr>
        <w:t xml:space="preserve"> - SDD) y por una gobernanza estricta basada en el principio de supervisión docente activa (</w:t>
      </w:r>
      <w:r>
        <w:rPr>
          <w:rFonts w:ascii="Times New Roman" w:hAnsi="Times New Roman"/>
          <w:i/>
          <w:sz w:val="24"/>
        </w:rPr>
        <w:t>Human-in-the-Loop</w:t>
      </w:r>
      <w:r>
        <w:rPr>
          <w:rFonts w:ascii="Times New Roman" w:hAnsi="Times New Roman"/>
          <w:sz w:val="24"/>
        </w:rPr>
        <w:t xml:space="preserve"> - HITL).</w:t>
      </w:r>
    </w:p>
    <w:p>
      <w:pPr>
        <w:spacing w:line="240" w:lineRule="auto" w:after="120" w:before="0"/>
      </w:pPr>
      <w:r>
        <w:rPr>
          <w:rFonts w:ascii="Times New Roman" w:hAnsi="Times New Roman"/>
          <w:sz w:val="24"/>
        </w:rPr>
        <w:t xml:space="preserve">A partir de este contexto, el presente artículo técnico tiene como objetivo general: </w:t>
      </w:r>
      <w:r>
        <w:rPr>
          <w:rFonts w:ascii="Times New Roman" w:hAnsi="Times New Roman"/>
          <w:b/>
          <w:sz w:val="24"/>
        </w:rPr>
        <w:t>diseñar, implementar y validar preliminarmente una arquitectura sociotécnica basada en MCP y supervisión docente activa para asistir la evaluación formativa continua en asignaturas universitarias de programación, así como evaluar las condiciones de viabilidad instrumental y adopción técnica de dicha infraestructura en una experiencia piloto de formación docente</w:t>
      </w:r>
      <w:r>
        <w:rPr>
          <w:rFonts w:ascii="Times New Roman" w:hAnsi="Times New Roman"/>
          <w:sz w:val="24"/>
        </w:rPr>
        <w:t>.</w:t>
      </w:r>
    </w:p>
    <w:p>
      <w:pPr>
        <w:spacing w:line="240" w:lineRule="auto" w:after="120" w:before="0"/>
      </w:pPr>
      <w:r>
        <w:rPr>
          <w:rFonts w:ascii="Times New Roman" w:hAnsi="Times New Roman"/>
          <w:sz w:val="24"/>
        </w:rPr>
        <w:t>Para orientar la investigación, se definieron tres preguntas de investigación:</w:t>
      </w:r>
    </w:p>
    <w:p>
      <w:pPr>
        <w:spacing w:line="240" w:lineRule="auto" w:after="120" w:before="0"/>
      </w:pPr>
      <w:r>
        <w:rPr>
          <w:rFonts w:ascii="Times New Roman" w:hAnsi="Times New Roman"/>
          <w:sz w:val="24"/>
        </w:rPr>
        <w:t xml:space="preserve">- </w:t>
      </w:r>
      <w:r>
        <w:rPr>
          <w:rFonts w:ascii="Times New Roman" w:hAnsi="Times New Roman"/>
          <w:b/>
          <w:sz w:val="24"/>
        </w:rPr>
        <w:t>PI1:</w:t>
      </w:r>
      <w:r>
        <w:rPr>
          <w:rFonts w:ascii="Times New Roman" w:hAnsi="Times New Roman"/>
          <w:sz w:val="24"/>
        </w:rPr>
        <w:t xml:space="preserve"> ¿Qué componentes técnicos y pedagógicos requiere una arquitectura basada en MCP para estructurar un proceso auditable de evaluación continua asistida por agentes?</w:t>
      </w:r>
    </w:p>
    <w:p>
      <w:pPr>
        <w:spacing w:line="240" w:lineRule="auto" w:after="120" w:before="0"/>
      </w:pPr>
      <w:r>
        <w:rPr>
          <w:rFonts w:ascii="Times New Roman" w:hAnsi="Times New Roman"/>
          <w:sz w:val="24"/>
        </w:rPr>
        <w:t xml:space="preserve">- </w:t>
      </w:r>
      <w:r>
        <w:rPr>
          <w:rFonts w:ascii="Times New Roman" w:hAnsi="Times New Roman"/>
          <w:b/>
          <w:sz w:val="24"/>
        </w:rPr>
        <w:t>PI2:</w:t>
      </w:r>
      <w:r>
        <w:rPr>
          <w:rFonts w:ascii="Times New Roman" w:hAnsi="Times New Roman"/>
          <w:sz w:val="24"/>
        </w:rPr>
        <w:t xml:space="preserve"> ¿Qué nivel de adopción instrumental y técnica alcanzan los participantes al interactuar con una plantilla basada en integración continua y agentes durante un taller de formación docente?</w:t>
      </w:r>
    </w:p>
    <w:p>
      <w:pPr>
        <w:spacing w:line="240" w:lineRule="auto" w:after="120" w:before="0"/>
      </w:pPr>
      <w:r>
        <w:rPr>
          <w:rFonts w:ascii="Times New Roman" w:hAnsi="Times New Roman"/>
          <w:sz w:val="24"/>
        </w:rPr>
        <w:t xml:space="preserve">- </w:t>
      </w:r>
      <w:r>
        <w:rPr>
          <w:rFonts w:ascii="Times New Roman" w:hAnsi="Times New Roman"/>
          <w:b/>
          <w:sz w:val="24"/>
        </w:rPr>
        <w:t>PI3:</w:t>
      </w:r>
      <w:r>
        <w:rPr>
          <w:rFonts w:ascii="Times New Roman" w:hAnsi="Times New Roman"/>
          <w:sz w:val="24"/>
        </w:rPr>
        <w:t xml:space="preserve"> ¿Qué barreras técnicas y pedagógicas emergen durante la interacción de los docentes con dicha infraestructura y qué andamiajes resultan pertinentes para mitigarlas?</w:t>
      </w:r>
    </w:p>
    <w:p>
      <w:pPr>
        <w:spacing w:before="280" w:after="120"/>
        <w:jc w:val="center"/>
      </w:pPr>
      <w:r>
        <w:rPr>
          <w:rFonts w:ascii="Times New Roman" w:hAnsi="Times New Roman"/>
          <w:b/>
          <w:sz w:val="24"/>
        </w:rPr>
        <w:t>2. MÉTODOS</w:t>
      </w:r>
    </w:p>
    <w:p>
      <w:pPr>
        <w:spacing w:before="200" w:after="80"/>
        <w:jc w:val="left"/>
      </w:pPr>
      <w:r>
        <w:rPr>
          <w:rFonts w:ascii="Times New Roman" w:hAnsi="Times New Roman"/>
          <w:b/>
          <w:sz w:val="24"/>
        </w:rPr>
        <w:t>2.1. Diseño de investigación</w:t>
      </w:r>
    </w:p>
    <w:p>
      <w:pPr>
        <w:spacing w:line="240" w:lineRule="auto" w:after="120" w:before="0"/>
      </w:pPr>
      <w:r>
        <w:rPr>
          <w:rFonts w:ascii="Times New Roman" w:hAnsi="Times New Roman"/>
          <w:sz w:val="24"/>
        </w:rPr>
        <w:t xml:space="preserve">El estudio adoptó un enfoque de </w:t>
      </w:r>
      <w:r>
        <w:rPr>
          <w:rFonts w:ascii="Times New Roman" w:hAnsi="Times New Roman"/>
          <w:b/>
          <w:sz w:val="24"/>
        </w:rPr>
        <w:t>Investigación Basada en el Diseño</w:t>
      </w:r>
      <w:r>
        <w:rPr>
          <w:rFonts w:ascii="Times New Roman" w:hAnsi="Times New Roman"/>
          <w:sz w:val="24"/>
        </w:rPr>
        <w:t xml:space="preserve"> (</w:t>
      </w:r>
      <w:r>
        <w:rPr>
          <w:rFonts w:ascii="Times New Roman" w:hAnsi="Times New Roman"/>
          <w:i/>
          <w:sz w:val="24"/>
        </w:rPr>
        <w:t>Design-Based Research</w:t>
      </w:r>
      <w:r>
        <w:rPr>
          <w:rFonts w:ascii="Times New Roman" w:hAnsi="Times New Roman"/>
          <w:sz w:val="24"/>
        </w:rPr>
        <w:t xml:space="preserve"> - DBR) (Wang &amp; Hannafin, 2005), de carácter descriptivo y exploratorio. Este marco metodológico es idóneo para la ingeniería educativa debido a su estructura iterativa de ciclos de análisis de necesidades, diseño colaborativo de intervenciones sociotécnicas, implementación en contextos educativos reales y refinamiento de principios teóricos y artefactos prácticos.</w:t>
      </w:r>
    </w:p>
    <w:p>
      <w:pPr>
        <w:spacing w:line="240" w:lineRule="auto" w:after="120" w:before="0"/>
      </w:pPr>
      <w:r>
        <w:rPr>
          <w:rFonts w:ascii="Times New Roman" w:hAnsi="Times New Roman"/>
          <w:sz w:val="24"/>
        </w:rPr>
        <w:t xml:space="preserve">La lógica iterativa propia de la DBR se materializó en el refinamiento progresivo de los artefactos entre las fases. Las dificultades identificadas durante el pilotaje curricular permitieron ajustar las restricciones de </w:t>
      </w:r>
      <w:r>
        <w:rPr>
          <w:rFonts w:ascii="Consolas" w:hAnsi="Consolas"/>
          <w:sz w:val="21"/>
        </w:rPr>
        <w:t>AGENTS.md</w:t>
      </w:r>
      <w:r>
        <w:rPr>
          <w:rFonts w:ascii="Times New Roman" w:hAnsi="Times New Roman"/>
          <w:sz w:val="24"/>
        </w:rPr>
        <w:t>, reorganizar las rúbricas y simplificar las plantillas utilizadas posteriormente en el taller. La experiencia de transferencia constituyó, a su vez, una nueva instancia de evaluación del diseño, cuyos resultados fundamentan el desarrollo futuro de interfaces gráficas y rutas de adopción diferenciadas.</w:t>
      </w:r>
    </w:p>
    <w:p>
      <w:pPr>
        <w:spacing w:before="200" w:after="80"/>
        <w:jc w:val="left"/>
      </w:pPr>
      <w:r>
        <w:rPr>
          <w:rFonts w:ascii="Times New Roman" w:hAnsi="Times New Roman"/>
          <w:b/>
          <w:sz w:val="24"/>
        </w:rPr>
        <w:t>2.2. Contexto y fases del estudio</w:t>
      </w:r>
    </w:p>
    <w:p>
      <w:pPr>
        <w:spacing w:line="240" w:lineRule="auto" w:after="120" w:before="0"/>
      </w:pPr>
      <w:r>
        <w:rPr>
          <w:rFonts w:ascii="Times New Roman" w:hAnsi="Times New Roman"/>
          <w:sz w:val="24"/>
        </w:rPr>
        <w:t>La investigación se desarrolló durante el ciclo lectivo 2026 en el marco de un proyecto de investigación acreditado institucionalmente, articulado en tres fases sucesivas:</w:t>
      </w:r>
    </w:p>
    <w:p>
      <w:pPr>
        <w:spacing w:line="240" w:lineRule="auto" w:after="120" w:before="0"/>
      </w:pPr>
      <w:r>
        <w:rPr>
          <w:rFonts w:ascii="Times New Roman" w:hAnsi="Times New Roman"/>
          <w:sz w:val="24"/>
        </w:rPr>
        <w:t xml:space="preserve">1. </w:t>
      </w:r>
      <w:r>
        <w:rPr>
          <w:rFonts w:ascii="Times New Roman" w:hAnsi="Times New Roman"/>
          <w:b/>
          <w:sz w:val="24"/>
        </w:rPr>
        <w:t>Fase 1: Diseño de la arquitectura y artefactos (marzo - mayo de 2026):</w:t>
      </w:r>
      <w:r>
        <w:rPr>
          <w:rFonts w:ascii="Times New Roman" w:hAnsi="Times New Roman"/>
          <w:sz w:val="24"/>
        </w:rPr>
        <w:t xml:space="preserve"> Definición de la estructura de tres capas, formalización de directivas en archivos de texto plano (</w:t>
      </w:r>
      <w:r>
        <w:rPr>
          <w:rFonts w:ascii="Consolas" w:hAnsi="Consolas"/>
          <w:sz w:val="21"/>
        </w:rPr>
        <w:t>AGENTS.md</w:t>
      </w:r>
      <w:r>
        <w:rPr>
          <w:rFonts w:ascii="Times New Roman" w:hAnsi="Times New Roman"/>
          <w:sz w:val="24"/>
        </w:rPr>
        <w:t xml:space="preserve">, </w:t>
      </w:r>
      <w:r>
        <w:rPr>
          <w:rFonts w:ascii="Consolas" w:hAnsi="Consolas"/>
          <w:sz w:val="21"/>
        </w:rPr>
        <w:t>MEMORY.md</w:t>
      </w:r>
      <w:r>
        <w:rPr>
          <w:rFonts w:ascii="Times New Roman" w:hAnsi="Times New Roman"/>
          <w:sz w:val="24"/>
        </w:rPr>
        <w:t>), rediseño de rúbricas analíticas matriciales y especificación de habilidades docentes estandarizadas para el análisis de código fuente.</w:t>
      </w:r>
    </w:p>
    <w:p>
      <w:pPr>
        <w:spacing w:line="240" w:lineRule="auto" w:after="120" w:before="0"/>
      </w:pPr>
      <w:r>
        <w:rPr>
          <w:rFonts w:ascii="Times New Roman" w:hAnsi="Times New Roman"/>
          <w:sz w:val="24"/>
        </w:rPr>
        <w:t xml:space="preserve">2. </w:t>
      </w:r>
      <w:r>
        <w:rPr>
          <w:rFonts w:ascii="Times New Roman" w:hAnsi="Times New Roman"/>
          <w:b/>
          <w:sz w:val="24"/>
        </w:rPr>
        <w:t>Fase 2: Pilotaje curricular preliminar (junio - agosto de 2026):</w:t>
      </w:r>
      <w:r>
        <w:rPr>
          <w:rFonts w:ascii="Times New Roman" w:hAnsi="Times New Roman"/>
          <w:sz w:val="24"/>
        </w:rPr>
        <w:t xml:space="preserve"> Aplicación exploratoria de la arquitectura en dos cursos de programación de una institución universitaria privada: </w:t>
      </w:r>
      <w:r>
        <w:rPr>
          <w:rFonts w:ascii="Times New Roman" w:hAnsi="Times New Roman"/>
          <w:i/>
          <w:sz w:val="24"/>
        </w:rPr>
        <w:t>Programación II</w:t>
      </w:r>
      <w:r>
        <w:rPr>
          <w:rFonts w:ascii="Times New Roman" w:hAnsi="Times New Roman"/>
          <w:sz w:val="24"/>
        </w:rPr>
        <w:t xml:space="preserve"> (3° año de Ingeniería en Informática, orientada a desarrollo web con HTML semántico, CSS y JavaScript) y </w:t>
      </w:r>
      <w:r>
        <w:rPr>
          <w:rFonts w:ascii="Times New Roman" w:hAnsi="Times New Roman"/>
          <w:i/>
          <w:sz w:val="24"/>
        </w:rPr>
        <w:t>Algoritmos y Programación</w:t>
      </w:r>
      <w:r>
        <w:rPr>
          <w:rFonts w:ascii="Times New Roman" w:hAnsi="Times New Roman"/>
          <w:sz w:val="24"/>
        </w:rPr>
        <w:t xml:space="preserve"> (1° año de Ingeniería en Informática, orientada a modularización algorítmica y arreglos en C++). En esta fase se utilizaron los agentes para generar borradores periciales de prediagnóstico técnico sobre tareas prácticas, los cuales fueron supervisados por el equipo docente a cargo antes de interactuar con los estudiantes. Asimismo, se adaptaron recursos de apoyo complementarios en áreas de sistemas operativos y estructuras de datos para ensayar la versatilidad de las especificaciones.</w:t>
      </w:r>
    </w:p>
    <w:p>
      <w:pPr>
        <w:spacing w:line="240" w:lineRule="auto" w:after="120" w:before="0"/>
      </w:pPr>
      <w:r>
        <w:rPr>
          <w:rFonts w:ascii="Times New Roman" w:hAnsi="Times New Roman"/>
          <w:sz w:val="24"/>
        </w:rPr>
        <w:t xml:space="preserve">3. </w:t>
      </w:r>
      <w:r>
        <w:rPr>
          <w:rFonts w:ascii="Times New Roman" w:hAnsi="Times New Roman"/>
          <w:b/>
          <w:sz w:val="24"/>
        </w:rPr>
        <w:t>Fase 3: Transferencia formativa y estudio de adopción (octubre de 2026):</w:t>
      </w:r>
      <w:r>
        <w:rPr>
          <w:rFonts w:ascii="Times New Roman" w:hAnsi="Times New Roman"/>
          <w:sz w:val="24"/>
        </w:rPr>
        <w:t xml:space="preserve"> Diseño y dictado de un taller intensivo de capacitación docente de diez horas reloj presenciales/sincrónicas orientado a profesores universitarios y estudiantes avanzados en formación docente.</w:t>
      </w:r>
    </w:p>
    <w:p>
      <w:pPr>
        <w:spacing w:before="200" w:after="80"/>
        <w:jc w:val="left"/>
      </w:pPr>
      <w:r>
        <w:rPr>
          <w:rFonts w:ascii="Times New Roman" w:hAnsi="Times New Roman"/>
          <w:b/>
          <w:sz w:val="24"/>
        </w:rPr>
        <w:t>2.3. Cohorte de prueba y participantes del taller piloto</w:t>
      </w:r>
    </w:p>
    <w:p>
      <w:pPr>
        <w:spacing w:line="240" w:lineRule="auto" w:after="120" w:before="0"/>
      </w:pPr>
      <w:r>
        <w:rPr>
          <w:rFonts w:ascii="Times New Roman" w:hAnsi="Times New Roman"/>
          <w:sz w:val="24"/>
        </w:rPr>
        <w:t>La convocatoria al taller de capacitación fue abierta, institucional y de carácter voluntario. Para la prueba de campo de la arquitectura se conformó una cohorte no probabilística y autoseleccionada de participantes voluntarios a partir de 80 personas inscriptas, de las cuales 70 asistieron activamente a las sesiones de laboratorio técnico presenciales/sincrónicas (tasa de asistencia del 87,5 %).</w:t>
      </w:r>
    </w:p>
    <w:p>
      <w:pPr>
        <w:spacing w:line="240" w:lineRule="auto" w:after="120" w:before="0"/>
      </w:pPr>
      <w:r>
        <w:rPr>
          <w:rFonts w:ascii="Times New Roman" w:hAnsi="Times New Roman"/>
          <w:sz w:val="24"/>
        </w:rPr>
        <w:t>La cohorte estuvo integrada por dos grupos diferenciados:</w:t>
      </w:r>
    </w:p>
    <w:p>
      <w:pPr>
        <w:spacing w:line="240" w:lineRule="auto" w:after="120" w:before="0"/>
      </w:pPr>
      <w:r>
        <w:rPr>
          <w:rFonts w:ascii="Times New Roman" w:hAnsi="Times New Roman"/>
          <w:sz w:val="24"/>
        </w:rPr>
        <w:t xml:space="preserve">- </w:t>
      </w:r>
      <w:r>
        <w:rPr>
          <w:rFonts w:ascii="Times New Roman" w:hAnsi="Times New Roman"/>
          <w:b/>
          <w:sz w:val="24"/>
        </w:rPr>
        <w:t>Grupo 1 (Docentes universitarios en ejercicio):</w:t>
      </w:r>
      <w:r>
        <w:rPr>
          <w:rFonts w:ascii="Times New Roman" w:hAnsi="Times New Roman"/>
          <w:sz w:val="24"/>
        </w:rPr>
        <w:t xml:space="preserve"> Profesores y auxiliares de cátedras del área de informática y computación pertenecientes a una universidad de gestión privada de la región (n = 28; 40,0 % de los asistentes).</w:t>
      </w:r>
    </w:p>
    <w:p>
      <w:pPr>
        <w:spacing w:line="240" w:lineRule="auto" w:after="120" w:before="0"/>
      </w:pPr>
      <w:r>
        <w:rPr>
          <w:rFonts w:ascii="Times New Roman" w:hAnsi="Times New Roman"/>
          <w:sz w:val="24"/>
        </w:rPr>
        <w:t xml:space="preserve">- </w:t>
      </w:r>
      <w:r>
        <w:rPr>
          <w:rFonts w:ascii="Times New Roman" w:hAnsi="Times New Roman"/>
          <w:b/>
          <w:sz w:val="24"/>
        </w:rPr>
        <w:t>Grupo 2 (Formadores en informática en etapa de graduación):</w:t>
      </w:r>
      <w:r>
        <w:rPr>
          <w:rFonts w:ascii="Times New Roman" w:hAnsi="Times New Roman"/>
          <w:sz w:val="24"/>
        </w:rPr>
        <w:t xml:space="preserve"> Estudiantes avanzados de los dos últimos años y graduados recientes de las carreras de Profesorado Universitario en Informática y Licenciatura en Informática Educativa pertenecientes a una universidad nacional pública de la misma región geográfica (n = 42; 60,0 % de los asistentes).</w:t>
      </w:r>
    </w:p>
    <w:p>
      <w:pPr>
        <w:spacing w:line="240" w:lineRule="auto" w:after="120" w:before="0"/>
      </w:pPr>
      <w:r>
        <w:rPr>
          <w:rFonts w:ascii="Times New Roman" w:hAnsi="Times New Roman"/>
          <w:sz w:val="24"/>
        </w:rPr>
        <w:t>No se aplicaron pruebas diagnósticas previas estandarizadas de dominio en herramientas de control de versiones (Git/CLI) o interfaces de agentes, registrándose durante las sesiones una marcada heterogeneidad en las competencias instrumentales de partida.</w:t>
      </w:r>
    </w:p>
    <w:p>
      <w:pPr>
        <w:spacing w:before="200" w:after="80"/>
        <w:jc w:val="left"/>
      </w:pPr>
      <w:r>
        <w:rPr>
          <w:rFonts w:ascii="Times New Roman" w:hAnsi="Times New Roman"/>
          <w:b/>
          <w:sz w:val="24"/>
        </w:rPr>
        <w:t>2.4. Arquitectura sociotécnica e instrumentos</w:t>
      </w:r>
    </w:p>
    <w:p>
      <w:pPr>
        <w:spacing w:line="240" w:lineRule="auto" w:after="120" w:before="0"/>
      </w:pPr>
      <w:r>
        <w:rPr>
          <w:rFonts w:ascii="Times New Roman" w:hAnsi="Times New Roman"/>
          <w:sz w:val="24"/>
        </w:rPr>
        <w:t>La arquitectura desarrollada desacopla la inteligencia generativa de la lógica pedagógica mediante tres capas operativas:</w:t>
      </w:r>
    </w:p>
    <w:p>
      <w:pPr>
        <w:spacing w:line="240" w:lineRule="auto" w:before="240" w:after="40"/>
      </w:pPr>
      <w:r>
        <w:rPr>
          <w:rFonts w:ascii="Times New Roman" w:hAnsi="Times New Roman"/>
          <w:b/>
          <w:sz w:val="24"/>
        </w:rPr>
        <w:t>Figura 1</w:t>
      </w:r>
    </w:p>
    <w:p>
      <w:pPr>
        <w:spacing w:line="240" w:lineRule="auto" w:before="0" w:after="120"/>
      </w:pPr>
      <w:r>
        <w:rPr>
          <w:rFonts w:ascii="Times New Roman" w:hAnsi="Times New Roman"/>
          <w:i/>
          <w:sz w:val="24"/>
        </w:rPr>
        <w:t>Arquitectura sociotécnica de tres capas para la evaluación continua asistida por agentes</w:t>
      </w:r>
    </w:p>
    <w:p>
      <w:pPr>
        <w:spacing w:before="120" w:after="120"/>
        <w:jc w:val="center"/>
      </w:pPr>
      <w:r>
        <w:drawing>
          <wp:inline xmlns:a="http://schemas.openxmlformats.org/drawingml/2006/main" xmlns:pic="http://schemas.openxmlformats.org/drawingml/2006/picture">
            <wp:extent cx="5472000" cy="3830400"/>
            <wp:docPr id="1" name="Picture 1"/>
            <wp:cNvGraphicFramePr>
              <a:graphicFrameLocks noChangeAspect="1"/>
            </wp:cNvGraphicFramePr>
            <a:graphic>
              <a:graphicData uri="http://schemas.openxmlformats.org/drawingml/2006/picture">
                <pic:pic>
                  <pic:nvPicPr>
                    <pic:cNvPr id="0" name="Figura_1_Arquitectura_MCP_HITL.png"/>
                    <pic:cNvPicPr/>
                  </pic:nvPicPr>
                  <pic:blipFill>
                    <a:blip r:embed="rId9"/>
                    <a:stretch>
                      <a:fillRect/>
                    </a:stretch>
                  </pic:blipFill>
                  <pic:spPr>
                    <a:xfrm>
                      <a:off x="0" y="0"/>
                      <a:ext cx="5472000" cy="3830400"/>
                    </a:xfrm>
                    <a:prstGeom prst="rect"/>
                  </pic:spPr>
                </pic:pic>
              </a:graphicData>
            </a:graphic>
          </wp:inline>
        </w:drawing>
      </w:r>
    </w:p>
    <w:p>
      <w:pPr>
        <w:spacing w:line="240" w:lineRule="auto" w:before="60" w:after="240"/>
      </w:pPr>
      <w:r>
        <w:rPr>
          <w:rFonts w:ascii="Times New Roman" w:hAnsi="Times New Roman"/>
          <w:i/>
          <w:sz w:val="20"/>
        </w:rPr>
        <w:t>Nota.</w:t>
      </w:r>
      <w:r>
        <w:rPr>
          <w:rFonts w:ascii="Times New Roman" w:hAnsi="Times New Roman"/>
          <w:sz w:val="20"/>
        </w:rPr>
        <w:t xml:space="preserve"> Elaboración propia con base en las directrices del estándar abierto MCP (Anthropic, 2024) y los principios HITL.</w:t>
      </w:r>
    </w:p>
    <w:p>
      <w:pPr>
        <w:spacing w:line="240" w:lineRule="auto" w:after="120" w:before="0"/>
      </w:pPr>
      <w:r>
        <w:rPr>
          <w:rFonts w:ascii="Times New Roman" w:hAnsi="Times New Roman"/>
          <w:sz w:val="24"/>
        </w:rPr>
        <w:t xml:space="preserve">1. </w:t>
      </w:r>
      <w:r>
        <w:rPr>
          <w:rFonts w:ascii="Times New Roman" w:hAnsi="Times New Roman"/>
          <w:b/>
          <w:sz w:val="24"/>
        </w:rPr>
        <w:t>Capa de Gobernanza Contextual:</w:t>
      </w:r>
    </w:p>
    <w:p>
      <w:pPr>
        <w:spacing w:line="240" w:lineRule="auto" w:after="120" w:before="0"/>
      </w:pPr>
      <w:r>
        <w:rPr>
          <w:rFonts w:ascii="Times New Roman" w:hAnsi="Times New Roman"/>
          <w:sz w:val="24"/>
        </w:rPr>
        <w:t xml:space="preserve">- </w:t>
      </w:r>
      <w:r>
        <w:rPr>
          <w:rFonts w:ascii="Consolas" w:hAnsi="Consolas"/>
          <w:sz w:val="21"/>
        </w:rPr>
        <w:t>AGENTS.md</w:t>
      </w:r>
      <w:r>
        <w:rPr>
          <w:rFonts w:ascii="Times New Roman" w:hAnsi="Times New Roman"/>
          <w:sz w:val="24"/>
        </w:rPr>
        <w:t>: Establece el rol pedagógico del agente, estipulando explícitamente el uso de metodologías formativas socráticas, la restricción de proveer soluciones completas o código corregido directamente y la exigencia de asociar cada observación a evidencias verificables en el código.</w:t>
      </w:r>
    </w:p>
    <w:p>
      <w:pPr>
        <w:spacing w:line="240" w:lineRule="auto" w:after="120" w:before="0"/>
      </w:pPr>
      <w:r>
        <w:rPr>
          <w:rFonts w:ascii="Times New Roman" w:hAnsi="Times New Roman"/>
          <w:sz w:val="24"/>
        </w:rPr>
        <w:t xml:space="preserve">- </w:t>
      </w:r>
      <w:r>
        <w:rPr>
          <w:rFonts w:ascii="Consolas" w:hAnsi="Consolas"/>
          <w:sz w:val="21"/>
        </w:rPr>
        <w:t>MEMORY.md</w:t>
      </w:r>
      <w:r>
        <w:rPr>
          <w:rFonts w:ascii="Times New Roman" w:hAnsi="Times New Roman"/>
          <w:sz w:val="24"/>
        </w:rPr>
        <w:t>: Archivo de persistencia de contexto que almacena acuerdos curriculares, restricciones del compilador o estándares de estilo adoptados por la cátedra.</w:t>
      </w:r>
    </w:p>
    <w:p>
      <w:pPr>
        <w:spacing w:line="240" w:lineRule="auto" w:after="120" w:before="0"/>
      </w:pPr>
      <w:r>
        <w:rPr>
          <w:rFonts w:ascii="Times New Roman" w:hAnsi="Times New Roman"/>
          <w:sz w:val="24"/>
        </w:rPr>
        <w:t>- Rúbricas Analíticas en Markdown: Matrices con criterios descriptivos y niveles de desempeño observables.</w:t>
      </w:r>
    </w:p>
    <w:p>
      <w:pPr>
        <w:spacing w:line="240" w:lineRule="auto" w:after="120" w:before="0"/>
      </w:pPr>
      <w:r>
        <w:rPr>
          <w:rFonts w:ascii="Times New Roman" w:hAnsi="Times New Roman"/>
          <w:sz w:val="24"/>
        </w:rPr>
        <w:t>- Habilidades Docentes (</w:t>
      </w:r>
      <w:r>
        <w:rPr>
          <w:rFonts w:ascii="Times New Roman" w:hAnsi="Times New Roman"/>
          <w:i/>
          <w:sz w:val="24"/>
        </w:rPr>
        <w:t>Skills</w:t>
      </w:r>
      <w:r>
        <w:rPr>
          <w:rFonts w:ascii="Times New Roman" w:hAnsi="Times New Roman"/>
          <w:sz w:val="24"/>
        </w:rPr>
        <w:t>): Archivos de instrucciones operativas con metadatos YAML (</w:t>
      </w:r>
      <w:r>
        <w:rPr>
          <w:rFonts w:ascii="Times New Roman" w:hAnsi="Times New Roman"/>
          <w:i/>
          <w:sz w:val="24"/>
        </w:rPr>
        <w:t>frontmatter</w:t>
      </w:r>
      <w:r>
        <w:rPr>
          <w:rFonts w:ascii="Times New Roman" w:hAnsi="Times New Roman"/>
          <w:sz w:val="24"/>
        </w:rPr>
        <w:t>), delimitadores de secciones (</w:t>
      </w:r>
      <w:r>
        <w:rPr>
          <w:rFonts w:ascii="Consolas" w:hAnsi="Consolas"/>
          <w:sz w:val="21"/>
        </w:rPr>
        <w:t>&lt;contexto&gt;</w:t>
      </w:r>
      <w:r>
        <w:rPr>
          <w:rFonts w:ascii="Times New Roman" w:hAnsi="Times New Roman"/>
          <w:sz w:val="24"/>
        </w:rPr>
        <w:t xml:space="preserve">, </w:t>
      </w:r>
      <w:r>
        <w:rPr>
          <w:rFonts w:ascii="Consolas" w:hAnsi="Consolas"/>
          <w:sz w:val="21"/>
        </w:rPr>
        <w:t>&lt;restricciones&gt;</w:t>
      </w:r>
      <w:r>
        <w:rPr>
          <w:rFonts w:ascii="Times New Roman" w:hAnsi="Times New Roman"/>
          <w:sz w:val="24"/>
        </w:rPr>
        <w:t xml:space="preserve">, </w:t>
      </w:r>
      <w:r>
        <w:rPr>
          <w:rFonts w:ascii="Consolas" w:hAnsi="Consolas"/>
          <w:sz w:val="21"/>
        </w:rPr>
        <w:t>&lt;procedimiento&gt;</w:t>
      </w:r>
      <w:r>
        <w:rPr>
          <w:rFonts w:ascii="Times New Roman" w:hAnsi="Times New Roman"/>
          <w:sz w:val="24"/>
        </w:rPr>
        <w:t>) y esquemas de salida estructurada.</w:t>
      </w:r>
    </w:p>
    <w:p>
      <w:pPr>
        <w:spacing w:line="240" w:lineRule="auto" w:after="120" w:before="0"/>
      </w:pPr>
      <w:r>
        <w:rPr>
          <w:rFonts w:ascii="Times New Roman" w:hAnsi="Times New Roman"/>
          <w:sz w:val="24"/>
        </w:rPr>
        <w:t xml:space="preserve">2. </w:t>
      </w:r>
      <w:r>
        <w:rPr>
          <w:rFonts w:ascii="Times New Roman" w:hAnsi="Times New Roman"/>
          <w:b/>
          <w:sz w:val="24"/>
        </w:rPr>
        <w:t>Capa de Interoperabilidad Protocolizada (MCP):</w:t>
      </w:r>
    </w:p>
    <w:p>
      <w:pPr>
        <w:spacing w:line="240" w:lineRule="auto" w:after="120" w:before="0"/>
      </w:pPr>
      <w:r>
        <w:rPr>
          <w:rFonts w:ascii="Times New Roman" w:hAnsi="Times New Roman"/>
          <w:sz w:val="24"/>
        </w:rPr>
        <w:t>Conexión local entre el entorno de desarrollo y un servidor MCP de sistema de archivos (</w:t>
      </w:r>
      <w:r>
        <w:rPr>
          <w:rFonts w:ascii="Times New Roman" w:hAnsi="Times New Roman"/>
          <w:i/>
          <w:sz w:val="24"/>
        </w:rPr>
        <w:t>Filesystem Server</w:t>
      </w:r>
      <w:r>
        <w:rPr>
          <w:rFonts w:ascii="Times New Roman" w:hAnsi="Times New Roman"/>
          <w:sz w:val="24"/>
        </w:rPr>
        <w:t>). La herramienta permite al agente listar directorios y leer archivos de código de forma estandarizada. En términos de seguridad informática, conforme a las directrices de OWASP (2025), la configuración requirió restringir la ejecución a rutas locales aisladas, aplicar privilegios mínimos y establecer listas de directorios permitidos, con el propósito de reducir el riesgo de exposición de credenciales y accesos no autorizados al sistema operativo.</w:t>
      </w:r>
    </w:p>
    <w:p>
      <w:pPr>
        <w:spacing w:line="240" w:lineRule="auto" w:after="120" w:before="0"/>
      </w:pPr>
      <w:r>
        <w:rPr>
          <w:rFonts w:ascii="Times New Roman" w:hAnsi="Times New Roman"/>
          <w:sz w:val="24"/>
        </w:rPr>
        <w:t xml:space="preserve">3. </w:t>
      </w:r>
      <w:r>
        <w:rPr>
          <w:rFonts w:ascii="Times New Roman" w:hAnsi="Times New Roman"/>
          <w:b/>
          <w:sz w:val="24"/>
        </w:rPr>
        <w:t>Capa de Supervisión Docente (*Human-in-the-Loop*):</w:t>
      </w:r>
    </w:p>
    <w:p>
      <w:pPr>
        <w:spacing w:line="240" w:lineRule="auto" w:after="120" w:before="0"/>
      </w:pPr>
      <w:r>
        <w:rPr>
          <w:rFonts w:ascii="Times New Roman" w:hAnsi="Times New Roman"/>
          <w:sz w:val="24"/>
        </w:rPr>
        <w:t>Mecanismo de gobernanza mediante el cual el agente genera únicamente un borrador de prediagnóstico técnico. El docente verifica la existencia de las evidencias citadas, modula el tono comunicacional y aprueba la devolución definitiva.</w:t>
      </w:r>
    </w:p>
    <w:p>
      <w:pPr>
        <w:spacing w:line="240" w:lineRule="auto" w:after="120" w:before="0"/>
      </w:pPr>
      <w:r>
        <w:rPr>
          <w:rFonts w:ascii="Times New Roman" w:hAnsi="Times New Roman"/>
          <w:sz w:val="24"/>
        </w:rPr>
        <w:t>Como instrumentos de transferencia y recolección se diseñaron:</w:t>
      </w:r>
    </w:p>
    <w:p>
      <w:pPr>
        <w:spacing w:line="240" w:lineRule="auto" w:after="120" w:before="0"/>
      </w:pPr>
      <w:r>
        <w:rPr>
          <w:rFonts w:ascii="Times New Roman" w:hAnsi="Times New Roman"/>
          <w:sz w:val="24"/>
        </w:rPr>
        <w:t xml:space="preserve">- </w:t>
      </w:r>
      <w:r>
        <w:rPr>
          <w:rFonts w:ascii="Times New Roman" w:hAnsi="Times New Roman"/>
          <w:b/>
          <w:sz w:val="24"/>
        </w:rPr>
        <w:t>Repositorio Plantilla Abierto:</w:t>
      </w:r>
      <w:r>
        <w:rPr>
          <w:rFonts w:ascii="Times New Roman" w:hAnsi="Times New Roman"/>
          <w:sz w:val="24"/>
        </w:rPr>
        <w:t xml:space="preserve"> Entorno de trabajo estructurado en GitHub conteniendo guías del taller, directorios de referencia, un evaluador automático en Python (</w:t>
      </w:r>
      <w:r>
        <w:rPr>
          <w:rFonts w:ascii="Consolas" w:hAnsi="Consolas"/>
          <w:sz w:val="21"/>
        </w:rPr>
        <w:t>autograder_taller.py</w:t>
      </w:r>
      <w:r>
        <w:rPr>
          <w:rFonts w:ascii="Times New Roman" w:hAnsi="Times New Roman"/>
          <w:sz w:val="24"/>
        </w:rPr>
        <w:t>) y un flujo de trabajo de integración continua en GitHub Actions configurado para una escala de 100 puntos.</w:t>
      </w:r>
    </w:p>
    <w:p>
      <w:pPr>
        <w:spacing w:line="240" w:lineRule="auto" w:after="120" w:before="0"/>
      </w:pPr>
      <w:r>
        <w:rPr>
          <w:rFonts w:ascii="Times New Roman" w:hAnsi="Times New Roman"/>
          <w:sz w:val="24"/>
        </w:rPr>
        <w:t xml:space="preserve">- </w:t>
      </w:r>
      <w:r>
        <w:rPr>
          <w:rFonts w:ascii="Times New Roman" w:hAnsi="Times New Roman"/>
          <w:b/>
          <w:sz w:val="24"/>
        </w:rPr>
        <w:t>Colección de Widgets Interactivos Desacoplados:</w:t>
      </w:r>
      <w:r>
        <w:rPr>
          <w:rFonts w:ascii="Times New Roman" w:hAnsi="Times New Roman"/>
          <w:sz w:val="24"/>
        </w:rPr>
        <w:t xml:space="preserve"> Banco de 35 actividades didácticas implementadas en HTML/CSS/JS autocontenidas en archivos locales, concebidas para ejecutarse directamente en el navegador sin dependencias de consola o servidores.</w:t>
      </w:r>
    </w:p>
    <w:p>
      <w:pPr>
        <w:spacing w:before="200" w:after="80"/>
        <w:jc w:val="left"/>
      </w:pPr>
      <w:r>
        <w:rPr>
          <w:rFonts w:ascii="Times New Roman" w:hAnsi="Times New Roman"/>
          <w:b/>
          <w:sz w:val="24"/>
        </w:rPr>
        <w:t>2.5. Procedimiento del taller</w:t>
      </w:r>
    </w:p>
    <w:p>
      <w:pPr>
        <w:spacing w:line="240" w:lineRule="auto" w:after="120" w:before="0"/>
      </w:pPr>
      <w:r>
        <w:rPr>
          <w:rFonts w:ascii="Times New Roman" w:hAnsi="Times New Roman"/>
          <w:sz w:val="24"/>
        </w:rPr>
        <w:t>El taller se estructuró en dos jornadas consecutivas de cinco horas reloj cada una:</w:t>
      </w:r>
    </w:p>
    <w:p>
      <w:pPr>
        <w:spacing w:line="240" w:lineRule="auto" w:after="120" w:before="0"/>
      </w:pPr>
      <w:r>
        <w:rPr>
          <w:rFonts w:ascii="Times New Roman" w:hAnsi="Times New Roman"/>
          <w:sz w:val="24"/>
        </w:rPr>
        <w:t xml:space="preserve">- </w:t>
      </w:r>
      <w:r>
        <w:rPr>
          <w:rFonts w:ascii="Times New Roman" w:hAnsi="Times New Roman"/>
          <w:b/>
          <w:sz w:val="24"/>
        </w:rPr>
        <w:t>Jornada 1 (Fundamentos y Persistencia):</w:t>
      </w:r>
      <w:r>
        <w:rPr>
          <w:rFonts w:ascii="Times New Roman" w:hAnsi="Times New Roman"/>
          <w:sz w:val="24"/>
        </w:rPr>
        <w:t xml:space="preserve"> Presentación del protocolo MCP, configuración del agente en el entorno de desarrollo, creación de </w:t>
      </w:r>
      <w:r>
        <w:rPr>
          <w:rFonts w:ascii="Consolas" w:hAnsi="Consolas"/>
          <w:sz w:val="21"/>
        </w:rPr>
        <w:t>AGENTS.md</w:t>
      </w:r>
      <w:r>
        <w:rPr>
          <w:rFonts w:ascii="Times New Roman" w:hAnsi="Times New Roman"/>
          <w:sz w:val="24"/>
        </w:rPr>
        <w:t xml:space="preserve">, </w:t>
      </w:r>
      <w:r>
        <w:rPr>
          <w:rFonts w:ascii="Consolas" w:hAnsi="Consolas"/>
          <w:sz w:val="21"/>
        </w:rPr>
        <w:t>MEMORY.md</w:t>
      </w:r>
      <w:r>
        <w:rPr>
          <w:rFonts w:ascii="Times New Roman" w:hAnsi="Times New Roman"/>
          <w:sz w:val="24"/>
        </w:rPr>
        <w:t>, programa analítico y resolución del cuestionario interactivo de fundamentos (acumulando 60 puntos en el evaluador).</w:t>
      </w:r>
    </w:p>
    <w:p>
      <w:pPr>
        <w:spacing w:line="240" w:lineRule="auto" w:after="120" w:before="0"/>
      </w:pPr>
      <w:r>
        <w:rPr>
          <w:rFonts w:ascii="Times New Roman" w:hAnsi="Times New Roman"/>
          <w:sz w:val="24"/>
        </w:rPr>
        <w:t xml:space="preserve">- </w:t>
      </w:r>
      <w:r>
        <w:rPr>
          <w:rFonts w:ascii="Times New Roman" w:hAnsi="Times New Roman"/>
          <w:b/>
          <w:sz w:val="24"/>
        </w:rPr>
        <w:t>Jornada 2 (Skills Avanzadas y Laboratorio Integrador):</w:t>
      </w:r>
      <w:r>
        <w:rPr>
          <w:rFonts w:ascii="Times New Roman" w:hAnsi="Times New Roman"/>
          <w:sz w:val="24"/>
        </w:rPr>
        <w:t xml:space="preserve"> Construcción guiada del Trabajo Práctico 1 (</w:t>
      </w:r>
      <w:r>
        <w:rPr>
          <w:rFonts w:ascii="Consolas" w:hAnsi="Consolas"/>
          <w:sz w:val="21"/>
        </w:rPr>
        <w:t>rubrica.md</w:t>
      </w:r>
      <w:r>
        <w:rPr>
          <w:rFonts w:ascii="Times New Roman" w:hAnsi="Times New Roman"/>
          <w:sz w:val="24"/>
        </w:rPr>
        <w:t>, 20 puntos) y de la habilidad formal de evaluación (</w:t>
      </w:r>
      <w:r>
        <w:rPr>
          <w:rFonts w:ascii="Consolas" w:hAnsi="Consolas"/>
          <w:sz w:val="21"/>
        </w:rPr>
        <w:t>skill_evaluador.md</w:t>
      </w:r>
      <w:r>
        <w:rPr>
          <w:rFonts w:ascii="Times New Roman" w:hAnsi="Times New Roman"/>
          <w:sz w:val="24"/>
        </w:rPr>
        <w:t>, 20 puntos) utilizando plantillas predefinidas del toolkit docente, finalizando con la verificación de la suite de pruebas local (</w:t>
      </w:r>
      <w:r>
        <w:rPr>
          <w:rFonts w:ascii="Consolas" w:hAnsi="Consolas"/>
          <w:sz w:val="21"/>
        </w:rPr>
        <w:t>python autograder_taller.py</w:t>
      </w:r>
      <w:r>
        <w:rPr>
          <w:rFonts w:ascii="Times New Roman" w:hAnsi="Times New Roman"/>
          <w:sz w:val="24"/>
        </w:rPr>
        <w:t>) y la sincronización con el repositorio remoto.</w:t>
      </w:r>
    </w:p>
    <w:p>
      <w:pPr>
        <w:spacing w:before="200" w:after="80"/>
        <w:jc w:val="left"/>
      </w:pPr>
      <w:r>
        <w:rPr>
          <w:rFonts w:ascii="Times New Roman" w:hAnsi="Times New Roman"/>
          <w:b/>
          <w:sz w:val="24"/>
        </w:rPr>
        <w:t>2.6. Fuentes y análisis de datos</w:t>
      </w:r>
    </w:p>
    <w:p>
      <w:pPr>
        <w:spacing w:line="240" w:lineRule="auto" w:after="120" w:before="0"/>
      </w:pPr>
      <w:r>
        <w:rPr>
          <w:rFonts w:ascii="Times New Roman" w:hAnsi="Times New Roman"/>
          <w:sz w:val="24"/>
        </w:rPr>
        <w:t>Para responder a las preguntas de investigación se triangularon tres fuentes de datos:</w:t>
      </w:r>
    </w:p>
    <w:p>
      <w:pPr>
        <w:spacing w:line="240" w:lineRule="auto" w:after="120" w:before="0"/>
      </w:pPr>
      <w:r>
        <w:rPr>
          <w:rFonts w:ascii="Times New Roman" w:hAnsi="Times New Roman"/>
          <w:sz w:val="24"/>
        </w:rPr>
        <w:t xml:space="preserve">1. </w:t>
      </w:r>
      <w:r>
        <w:rPr>
          <w:rFonts w:ascii="Times New Roman" w:hAnsi="Times New Roman"/>
          <w:b/>
          <w:sz w:val="24"/>
        </w:rPr>
        <w:t>Registros de integración continua y actividad en repositorios:</w:t>
      </w:r>
      <w:r>
        <w:rPr>
          <w:rFonts w:ascii="Times New Roman" w:hAnsi="Times New Roman"/>
          <w:sz w:val="24"/>
        </w:rPr>
        <w:t xml:space="preserve"> Seguimiento de ejecuciones en GitHub Actions y verificación en aula del acceso, clonación y confirmaciones de cambios (</w:t>
      </w:r>
      <w:r>
        <w:rPr>
          <w:rFonts w:ascii="Times New Roman" w:hAnsi="Times New Roman"/>
          <w:i/>
          <w:sz w:val="24"/>
        </w:rPr>
        <w:t>commits</w:t>
      </w:r>
      <w:r>
        <w:rPr>
          <w:rFonts w:ascii="Times New Roman" w:hAnsi="Times New Roman"/>
          <w:sz w:val="24"/>
        </w:rPr>
        <w:t>) generados durante las sesiones sincrónicas.</w:t>
      </w:r>
    </w:p>
    <w:p>
      <w:pPr>
        <w:spacing w:line="240" w:lineRule="auto" w:after="120" w:before="0"/>
      </w:pPr>
      <w:r>
        <w:rPr>
          <w:rFonts w:ascii="Times New Roman" w:hAnsi="Times New Roman"/>
          <w:sz w:val="24"/>
        </w:rPr>
        <w:t xml:space="preserve">2. </w:t>
      </w:r>
      <w:r>
        <w:rPr>
          <w:rFonts w:ascii="Times New Roman" w:hAnsi="Times New Roman"/>
          <w:b/>
          <w:sz w:val="24"/>
        </w:rPr>
        <w:t>Notas de campo estructuradas:</w:t>
      </w:r>
      <w:r>
        <w:rPr>
          <w:rFonts w:ascii="Times New Roman" w:hAnsi="Times New Roman"/>
          <w:sz w:val="24"/>
        </w:rPr>
        <w:t xml:space="preserve"> Registros sistemáticos tomados por el equipo capacitador durante el desarrollo del taller, focalizados en los momentos de bloqueo procedimental, consultas reiteradas y verbalizaciones de los asistentes.</w:t>
      </w:r>
    </w:p>
    <w:p>
      <w:pPr>
        <w:spacing w:line="240" w:lineRule="auto" w:after="120" w:before="0"/>
      </w:pPr>
      <w:r>
        <w:rPr>
          <w:rFonts w:ascii="Times New Roman" w:hAnsi="Times New Roman"/>
          <w:sz w:val="24"/>
        </w:rPr>
        <w:t xml:space="preserve">3. </w:t>
      </w:r>
      <w:r>
        <w:rPr>
          <w:rFonts w:ascii="Times New Roman" w:hAnsi="Times New Roman"/>
          <w:b/>
          <w:sz w:val="24"/>
        </w:rPr>
        <w:t>Registro de consultas e incidencias técnicas:</w:t>
      </w:r>
      <w:r>
        <w:rPr>
          <w:rFonts w:ascii="Times New Roman" w:hAnsi="Times New Roman"/>
          <w:sz w:val="24"/>
        </w:rPr>
        <w:t xml:space="preserve"> Documentación de dudas formuladas durante las instancias prácticas de laboratorio.</w:t>
      </w:r>
    </w:p>
    <w:p>
      <w:pPr>
        <w:spacing w:line="240" w:lineRule="auto" w:after="120" w:before="0"/>
      </w:pPr>
      <w:r>
        <w:rPr>
          <w:rFonts w:ascii="Times New Roman" w:hAnsi="Times New Roman"/>
          <w:sz w:val="24"/>
        </w:rPr>
        <w:t>Para el análisis cuantitativo, la unidad de análisis fue cada participante asistente al taller. Para el análisis cualitativo, la unidad de registro estuvo constituida por cada incidencia, consulta o episodio de bloqueo consignado en las notas de campo. Estas frecuencias corresponden a unidades de registro cualitativo y no a participantes únicos, por lo que una misma persona pudo generar más de una incidencia u observación durante las sesiones.</w:t>
      </w:r>
    </w:p>
    <w:p>
      <w:pPr>
        <w:spacing w:line="240" w:lineRule="auto" w:after="120" w:before="0"/>
      </w:pPr>
      <w:r>
        <w:rPr>
          <w:rFonts w:ascii="Times New Roman" w:hAnsi="Times New Roman"/>
          <w:sz w:val="24"/>
        </w:rPr>
        <w:t>La identificación de avances individuales se gestionó mediante códigos alfanuméricos temporales y hojas de cotejo observacional en el aula, desvinculadas de nombres personales y destruidas tras consolidar las frecuencias agregadas. Las confirmaciones locales y ejecuciones de integración continua se verificaron directamente en los puestos de trabajo sin almacenar credenciales ni identificadores personales persistentes en repositorios públicos.</w:t>
      </w:r>
    </w:p>
    <w:p>
      <w:pPr>
        <w:spacing w:line="240" w:lineRule="auto" w:after="120" w:before="0"/>
      </w:pPr>
      <w:r>
        <w:rPr>
          <w:rFonts w:ascii="Times New Roman" w:hAnsi="Times New Roman"/>
          <w:sz w:val="24"/>
        </w:rPr>
        <w:t>El análisis de los registros cuantitativos fue de carácter descriptivo (frecuencias absolutas y porcentajes). Las notas de campo y las consultas se sometieron a un análisis temático cualitativo mediante codificación inductiva abierta, realizada de manera independiente por dos integrantes del equipo investigador sobre el conjunto completo de notas de campo e incidencias registradas durante ambas jornadas; las discrepancias iniciales de codificación se resolvieron por consenso en sesiones de revisión conjunta hasta consolidar una matriz unificada organizada en los tres patrones temáticos informados.</w:t>
      </w:r>
    </w:p>
    <w:p>
      <w:pPr>
        <w:spacing w:before="200" w:after="80"/>
        <w:jc w:val="left"/>
      </w:pPr>
      <w:r>
        <w:rPr>
          <w:rFonts w:ascii="Times New Roman" w:hAnsi="Times New Roman"/>
          <w:b/>
          <w:sz w:val="24"/>
        </w:rPr>
        <w:t>2.7. Resguardo ético y tratamiento de telemetría técnica</w:t>
      </w:r>
    </w:p>
    <w:p>
      <w:pPr>
        <w:spacing w:line="240" w:lineRule="auto" w:after="120" w:before="0"/>
      </w:pPr>
      <w:r>
        <w:rPr>
          <w:rFonts w:ascii="Times New Roman" w:hAnsi="Times New Roman"/>
          <w:sz w:val="24"/>
        </w:rPr>
        <w:t>Al constituir una evaluación técnica de observabilidad y usabilidad de la arquitectura de software en un entorno formativo de prueba, la recolección de información se limitó a métricas técnicas de ejecución en GitHub Actions, telemetría agregada del repositorio plantilla y notas de campo estructuradas sobre incidentes instrumentales en el aula. Al inicio de los encuentros, se comunicó a los asistentes el propósito pedagógico y de indagación técnica de la experiencia, el carácter enteramente voluntario de su intervención y el tratamiento agregado y anónimo de los registros técnicos generados. No se recolectaron datos personales sensibles ni se almacenaron credenciales o identificadores que permitieran asociar desempeños o consultas con identidades individuales, ni se derivaron consecuencias académicas, laborales ni evaluativas para los participantes. Por tratarse de una validación técnica de herramientas y artefactos de software con datos de telemetría agregados y despersonalizados en un entorno de aprendizaje ordinario, la experiencia se encuadra como indagación de riesgo mínimo no sujeta a protocolos bioéticos clínicos.</w:t>
      </w:r>
    </w:p>
    <w:p>
      <w:pPr>
        <w:spacing w:before="280" w:after="120"/>
        <w:jc w:val="center"/>
      </w:pPr>
      <w:r>
        <w:rPr>
          <w:rFonts w:ascii="Times New Roman" w:hAnsi="Times New Roman"/>
          <w:b/>
          <w:sz w:val="24"/>
        </w:rPr>
        <w:t>3. RESULTADOS</w:t>
      </w:r>
    </w:p>
    <w:p>
      <w:pPr>
        <w:spacing w:before="200" w:after="80"/>
        <w:jc w:val="left"/>
      </w:pPr>
      <w:r>
        <w:rPr>
          <w:rFonts w:ascii="Times New Roman" w:hAnsi="Times New Roman"/>
          <w:b/>
          <w:sz w:val="24"/>
        </w:rPr>
        <w:t>3.1. Arquitectura técnica y ecosistema de recursos desarrollados (PI1)</w:t>
      </w:r>
    </w:p>
    <w:p>
      <w:pPr>
        <w:spacing w:line="240" w:lineRule="auto" w:after="120" w:before="0"/>
      </w:pPr>
      <w:r>
        <w:rPr>
          <w:rFonts w:ascii="Times New Roman" w:hAnsi="Times New Roman"/>
          <w:sz w:val="24"/>
        </w:rPr>
        <w:t>En respuesta a la primera pregunta de investigación, la implementación permitió operacionalizar la separación entre las reglas pedagógicas almacenadas en archivos de especificación y la capacidad generativa del modelo.</w:t>
      </w:r>
    </w:p>
    <w:p>
      <w:pPr>
        <w:spacing w:line="240" w:lineRule="auto" w:after="120" w:before="0"/>
      </w:pPr>
      <w:r>
        <w:rPr>
          <w:rFonts w:ascii="Times New Roman" w:hAnsi="Times New Roman"/>
          <w:sz w:val="24"/>
        </w:rPr>
        <w:t xml:space="preserve">A través del protocolo MCP, el agente accedió a las soluciones de código ubicadas en carpetas locales, contrastándolas contra los criterios expresados en </w:t>
      </w:r>
      <w:r>
        <w:rPr>
          <w:rFonts w:ascii="Consolas" w:hAnsi="Consolas"/>
          <w:sz w:val="21"/>
        </w:rPr>
        <w:t>rubrica.md</w:t>
      </w:r>
      <w:r>
        <w:rPr>
          <w:rFonts w:ascii="Times New Roman" w:hAnsi="Times New Roman"/>
          <w:sz w:val="24"/>
        </w:rPr>
        <w:t xml:space="preserve"> y generando borradores de devolución que citaban números de línea concretos. La formalización mediante habilidades estructuradas favoreció que los prediagnósticos conservaran una estructura común compuesta por: (a) identificación de fortalezas observadas, (b) señalamiento de inconsistencias algorítmicas con cita textual de código y (c) formulación de preguntas orientadoras para la corrección autónoma.</w:t>
      </w:r>
    </w:p>
    <w:p>
      <w:pPr>
        <w:spacing w:line="240" w:lineRule="auto" w:after="120" w:before="0"/>
      </w:pPr>
      <w:r>
        <w:rPr>
          <w:rFonts w:ascii="Times New Roman" w:hAnsi="Times New Roman"/>
          <w:sz w:val="24"/>
        </w:rPr>
        <w:t xml:space="preserve">Asimismo, se desarrolló un banco de recursos didácticos de transferencia estructurado en 35 aplicaciones interactivas web autocontenidas para </w:t>
      </w:r>
      <w:r>
        <w:rPr>
          <w:rFonts w:ascii="Times New Roman" w:hAnsi="Times New Roman"/>
          <w:i/>
          <w:sz w:val="24"/>
        </w:rPr>
        <w:t>Algoritmos y Programación</w:t>
      </w:r>
      <w:r>
        <w:rPr>
          <w:rFonts w:ascii="Times New Roman" w:hAnsi="Times New Roman"/>
          <w:sz w:val="24"/>
        </w:rPr>
        <w:t>, complementado con módulos de prueba en estructuras dinámicas, simulaciones estocásticas y verificación de permisos en sistemas operativos.</w:t>
      </w:r>
    </w:p>
    <w:p>
      <w:pPr>
        <w:spacing w:before="200" w:after="80"/>
        <w:jc w:val="left"/>
      </w:pPr>
      <w:r>
        <w:rPr>
          <w:rFonts w:ascii="Times New Roman" w:hAnsi="Times New Roman"/>
          <w:b/>
          <w:sz w:val="24"/>
        </w:rPr>
        <w:t>3.2. Participación y adopción instrumental durante el taller (PI2)</w:t>
      </w:r>
    </w:p>
    <w:p>
      <w:pPr>
        <w:spacing w:line="240" w:lineRule="auto" w:after="120" w:before="0"/>
      </w:pPr>
      <w:r>
        <w:rPr>
          <w:rFonts w:ascii="Times New Roman" w:hAnsi="Times New Roman"/>
          <w:sz w:val="24"/>
        </w:rPr>
        <w:t>La convocatoria registró 80 postulantes y 70 asistentes efectivos durante las dos jornadas (tasa de asistencia del 87,5 %). Sin embargo, la interacción con la infraestructura técnica del repositorio plantilla reveló una dinámica disímil en función de las herramientas empleadas.</w:t>
      </w:r>
    </w:p>
    <w:p>
      <w:pPr>
        <w:spacing w:line="240" w:lineRule="auto" w:after="120" w:before="0"/>
      </w:pPr>
      <w:r>
        <w:rPr>
          <w:rFonts w:ascii="Times New Roman" w:hAnsi="Times New Roman"/>
          <w:sz w:val="24"/>
        </w:rPr>
        <w:t>La Tabla 1 resume los niveles de progresión observados entre los participantes durante el tiempo sincrónico de las sesiones de laboratorio.</w:t>
      </w:r>
    </w:p>
    <w:p>
      <w:pPr>
        <w:spacing w:line="240" w:lineRule="auto" w:before="240" w:after="40"/>
      </w:pPr>
      <w:r>
        <w:rPr>
          <w:rFonts w:ascii="Times New Roman" w:hAnsi="Times New Roman"/>
          <w:b/>
          <w:sz w:val="24"/>
        </w:rPr>
        <w:t>Tabla 1</w:t>
      </w:r>
    </w:p>
    <w:p>
      <w:pPr>
        <w:spacing w:line="240" w:lineRule="auto" w:before="0" w:after="120"/>
      </w:pPr>
      <w:r>
        <w:rPr>
          <w:rFonts w:ascii="Times New Roman" w:hAnsi="Times New Roman"/>
          <w:i/>
          <w:sz w:val="24"/>
        </w:rPr>
        <w:t>Participación de los asistentes en las actividades técnicas del taller (N = 70)</w:t>
      </w:r>
    </w:p>
    <w:tbl>
      <w:tblPr>
        <w:tblW w:type="auto" w:w="0"/>
        <w:jc w:val="center"/>
        <w:tblLook w:firstColumn="1" w:firstRow="1" w:lastColumn="0" w:lastRow="0" w:noHBand="0" w:noVBand="1" w:val="04A0"/>
      </w:tblPr>
      <w:tblGrid>
        <w:gridCol w:w="2835"/>
        <w:gridCol w:w="2835"/>
        <w:gridCol w:w="2835"/>
      </w:tblGrid>
      <w:tr>
        <w:tc>
          <w:tcPr>
            <w:tcW w:type="dxa" w:w="2835"/>
            <w:tcBorders>
              <w:top w:val="single" w:sz="6" w:space="0" w:color="auto"/>
              <w:left w:val="none" w:sz="0" w:space="0" w:color="auto"/>
              <w:bottom w:val="single" w:sz="6" w:space="0" w:color="auto"/>
              <w:right w:val="none" w:sz="0" w:space="0" w:color="auto"/>
            </w:tcBorders>
          </w:tcPr>
          <w:p>
            <w:pPr>
              <w:spacing w:line="240" w:lineRule="auto" w:after="60" w:before="60"/>
              <w:jc w:val="left"/>
            </w:pPr>
            <w:r>
              <w:rPr>
                <w:b/>
              </w:rPr>
            </w:r>
            <w:r>
              <w:rPr>
                <w:rFonts w:ascii="Times New Roman" w:hAnsi="Times New Roman"/>
                <w:b/>
                <w:sz w:val="20"/>
              </w:rPr>
              <w:t>Actividad o logro observado</w:t>
            </w:r>
          </w:p>
        </w:tc>
        <w:tc>
          <w:tcPr>
            <w:tcW w:type="dxa" w:w="2835"/>
            <w:tcBorders>
              <w:top w:val="single" w:sz="6" w:space="0" w:color="auto"/>
              <w:left w:val="none" w:sz="0" w:space="0" w:color="auto"/>
              <w:bottom w:val="single" w:sz="6" w:space="0" w:color="auto"/>
              <w:right w:val="none" w:sz="0" w:space="0" w:color="auto"/>
            </w:tcBorders>
          </w:tcPr>
          <w:p>
            <w:pPr>
              <w:spacing w:line="240" w:lineRule="auto" w:after="60" w:before="60"/>
              <w:jc w:val="center"/>
            </w:pPr>
            <w:r>
              <w:rPr>
                <w:b/>
              </w:rPr>
            </w:r>
            <w:r>
              <w:rPr>
                <w:rFonts w:ascii="Times New Roman" w:hAnsi="Times New Roman"/>
                <w:b/>
                <w:sz w:val="20"/>
              </w:rPr>
              <w:t>Frecuencia (n)</w:t>
            </w:r>
          </w:p>
        </w:tc>
        <w:tc>
          <w:tcPr>
            <w:tcW w:type="dxa" w:w="2835"/>
            <w:tcBorders>
              <w:top w:val="single" w:sz="6" w:space="0" w:color="auto"/>
              <w:left w:val="none" w:sz="0" w:space="0" w:color="auto"/>
              <w:bottom w:val="single" w:sz="6" w:space="0" w:color="auto"/>
              <w:right w:val="none" w:sz="0" w:space="0" w:color="auto"/>
            </w:tcBorders>
          </w:tcPr>
          <w:p>
            <w:pPr>
              <w:spacing w:line="240" w:lineRule="auto" w:after="60" w:before="60"/>
              <w:jc w:val="center"/>
            </w:pPr>
            <w:r>
              <w:rPr>
                <w:b/>
              </w:rPr>
            </w:r>
            <w:r>
              <w:rPr>
                <w:rFonts w:ascii="Times New Roman" w:hAnsi="Times New Roman"/>
                <w:b/>
                <w:sz w:val="20"/>
              </w:rPr>
              <w:t>Porcentaje (%)</w:t>
            </w:r>
          </w:p>
        </w:tc>
      </w:tr>
      <w:tr>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left"/>
            </w:pPr>
            <w:r/>
            <w:r>
              <w:rPr>
                <w:rFonts w:ascii="Times New Roman" w:hAnsi="Times New Roman"/>
                <w:sz w:val="20"/>
              </w:rPr>
              <w:t>Asistentes presentes en el taller</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
              <w:rPr>
                <w:rFonts w:ascii="Times New Roman" w:hAnsi="Times New Roman"/>
                <w:sz w:val="20"/>
              </w:rPr>
              <w:t>70</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
              <w:rPr>
                <w:rFonts w:ascii="Times New Roman" w:hAnsi="Times New Roman"/>
                <w:sz w:val="20"/>
              </w:rPr>
              <w:t>100,0 %</w:t>
            </w:r>
          </w:p>
        </w:tc>
      </w:tr>
      <w:tr>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left"/>
            </w:pPr>
            <w:r/>
            <w:r>
              <w:rPr>
                <w:rFonts w:ascii="Times New Roman" w:hAnsi="Times New Roman"/>
                <w:sz w:val="20"/>
              </w:rPr>
              <w:t>Acceso y clonación del repositorio plantilla</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
              <w:rPr>
                <w:rFonts w:ascii="Times New Roman" w:hAnsi="Times New Roman"/>
                <w:sz w:val="20"/>
              </w:rPr>
              <w:t>41</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
              <w:rPr>
                <w:rFonts w:ascii="Times New Roman" w:hAnsi="Times New Roman"/>
                <w:sz w:val="20"/>
              </w:rPr>
              <w:t>58,6 %</w:t>
            </w:r>
          </w:p>
        </w:tc>
      </w:tr>
      <w:tr>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left"/>
            </w:pPr>
            <w:r/>
            <w:r>
              <w:rPr>
                <w:rFonts w:ascii="Times New Roman" w:hAnsi="Times New Roman"/>
                <w:sz w:val="20"/>
              </w:rPr>
              <w:t>Resolución del cuestionario web interactivo (</w:t>
            </w:r>
            <w:r>
              <w:rPr>
                <w:rFonts w:ascii="Consolas" w:hAnsi="Consolas"/>
                <w:sz w:val="17"/>
              </w:rPr>
              <w:t>index.html</w:t>
            </w:r>
            <w:r>
              <w:rPr>
                <w:rFonts w:ascii="Times New Roman" w:hAnsi="Times New Roman"/>
                <w:sz w:val="20"/>
              </w:rPr>
              <w:t>)</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
              <w:rPr>
                <w:rFonts w:ascii="Times New Roman" w:hAnsi="Times New Roman"/>
                <w:sz w:val="20"/>
              </w:rPr>
              <w:t>52</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
              <w:rPr>
                <w:rFonts w:ascii="Times New Roman" w:hAnsi="Times New Roman"/>
                <w:sz w:val="20"/>
              </w:rPr>
              <w:t>74,3 %</w:t>
            </w:r>
          </w:p>
        </w:tc>
      </w:tr>
      <w:tr>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left"/>
            </w:pPr>
            <w:r/>
            <w:r>
              <w:rPr>
                <w:rFonts w:ascii="Times New Roman" w:hAnsi="Times New Roman"/>
                <w:sz w:val="20"/>
              </w:rPr>
              <w:t>Ejecución local del evaluador (</w:t>
            </w:r>
            <w:r>
              <w:rPr>
                <w:rFonts w:ascii="Consolas" w:hAnsi="Consolas"/>
                <w:sz w:val="17"/>
              </w:rPr>
              <w:t>autograder_taller.py</w:t>
            </w:r>
            <w:r>
              <w:rPr>
                <w:rFonts w:ascii="Times New Roman" w:hAnsi="Times New Roman"/>
                <w:sz w:val="20"/>
              </w:rPr>
              <w:t>)</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
              <w:rPr>
                <w:rFonts w:ascii="Times New Roman" w:hAnsi="Times New Roman"/>
                <w:sz w:val="20"/>
              </w:rPr>
              <w:t>19</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
              <w:rPr>
                <w:rFonts w:ascii="Times New Roman" w:hAnsi="Times New Roman"/>
                <w:sz w:val="20"/>
              </w:rPr>
              <w:t>27,1 %</w:t>
            </w:r>
          </w:p>
        </w:tc>
      </w:tr>
      <w:tr>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left"/>
            </w:pPr>
            <w:r/>
            <w:r>
              <w:rPr>
                <w:rFonts w:ascii="Times New Roman" w:hAnsi="Times New Roman"/>
                <w:sz w:val="20"/>
              </w:rPr>
              <w:t xml:space="preserve">Realización de al menos un </w:t>
            </w:r>
            <w:r>
              <w:rPr>
                <w:rFonts w:ascii="Times New Roman" w:hAnsi="Times New Roman"/>
                <w:i/>
                <w:sz w:val="20"/>
              </w:rPr>
              <w:t>commit</w:t>
            </w:r>
            <w:r>
              <w:rPr>
                <w:rFonts w:ascii="Times New Roman" w:hAnsi="Times New Roman"/>
                <w:sz w:val="20"/>
              </w:rPr>
              <w:t xml:space="preserve"> local</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
              <w:rPr>
                <w:rFonts w:ascii="Times New Roman" w:hAnsi="Times New Roman"/>
                <w:sz w:val="20"/>
              </w:rPr>
              <w:t>14</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
              <w:rPr>
                <w:rFonts w:ascii="Times New Roman" w:hAnsi="Times New Roman"/>
                <w:sz w:val="20"/>
              </w:rPr>
              <w:t>20,0 %</w:t>
            </w:r>
          </w:p>
        </w:tc>
      </w:tr>
      <w:tr>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left"/>
            </w:pPr>
            <w:r/>
            <w:r>
              <w:rPr>
                <w:rFonts w:ascii="Times New Roman" w:hAnsi="Times New Roman"/>
                <w:sz w:val="20"/>
              </w:rPr>
              <w:t>Envío exitoso de cambios a GitHub (</w:t>
            </w:r>
            <w:r>
              <w:rPr>
                <w:rFonts w:ascii="Times New Roman" w:hAnsi="Times New Roman"/>
                <w:i/>
                <w:sz w:val="20"/>
              </w:rPr>
              <w:t>push</w:t>
            </w:r>
            <w:r>
              <w:rPr>
                <w:rFonts w:ascii="Times New Roman" w:hAnsi="Times New Roman"/>
                <w:sz w:val="20"/>
              </w:rPr>
              <w:t>)</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
              <w:rPr>
                <w:rFonts w:ascii="Times New Roman" w:hAnsi="Times New Roman"/>
                <w:sz w:val="20"/>
              </w:rPr>
              <w:t>6</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
              <w:rPr>
                <w:rFonts w:ascii="Times New Roman" w:hAnsi="Times New Roman"/>
                <w:sz w:val="20"/>
              </w:rPr>
              <w:t>8,6 %</w:t>
            </w:r>
          </w:p>
        </w:tc>
      </w:tr>
      <w:tr>
        <w:tc>
          <w:tcPr>
            <w:tcW w:type="dxa" w:w="2835"/>
            <w:tcBorders>
              <w:top w:val="none" w:sz="6" w:space="0" w:color="auto"/>
              <w:left w:val="none" w:sz="0" w:space="0" w:color="auto"/>
              <w:bottom w:val="single" w:sz="6" w:space="0" w:color="auto"/>
              <w:right w:val="none" w:sz="0" w:space="0" w:color="auto"/>
            </w:tcBorders>
          </w:tcPr>
          <w:p>
            <w:pPr>
              <w:spacing w:line="240" w:lineRule="auto" w:after="60" w:before="60"/>
              <w:jc w:val="left"/>
            </w:pPr>
            <w:r/>
            <w:r>
              <w:rPr>
                <w:rFonts w:ascii="Times New Roman" w:hAnsi="Times New Roman"/>
                <w:sz w:val="20"/>
              </w:rPr>
              <w:t>Culminación integral autónoma del flujo de integración continua (100 pts)</w:t>
            </w:r>
          </w:p>
        </w:tc>
        <w:tc>
          <w:tcPr>
            <w:tcW w:type="dxa" w:w="2835"/>
            <w:tcBorders>
              <w:top w:val="none" w:sz="6" w:space="0" w:color="auto"/>
              <w:left w:val="none" w:sz="0" w:space="0" w:color="auto"/>
              <w:bottom w:val="single" w:sz="6" w:space="0" w:color="auto"/>
              <w:right w:val="none" w:sz="0" w:space="0" w:color="auto"/>
            </w:tcBorders>
          </w:tcPr>
          <w:p>
            <w:pPr>
              <w:spacing w:line="240" w:lineRule="auto" w:after="60" w:before="60"/>
              <w:jc w:val="right"/>
            </w:pPr>
            <w:r/>
            <w:r>
              <w:rPr>
                <w:rFonts w:ascii="Times New Roman" w:hAnsi="Times New Roman"/>
                <w:sz w:val="20"/>
              </w:rPr>
              <w:t>1</w:t>
            </w:r>
          </w:p>
        </w:tc>
        <w:tc>
          <w:tcPr>
            <w:tcW w:type="dxa" w:w="2835"/>
            <w:tcBorders>
              <w:top w:val="none" w:sz="6" w:space="0" w:color="auto"/>
              <w:left w:val="none" w:sz="0" w:space="0" w:color="auto"/>
              <w:bottom w:val="single" w:sz="6" w:space="0" w:color="auto"/>
              <w:right w:val="none" w:sz="0" w:space="0" w:color="auto"/>
            </w:tcBorders>
          </w:tcPr>
          <w:p>
            <w:pPr>
              <w:spacing w:line="240" w:lineRule="auto" w:after="60" w:before="60"/>
              <w:jc w:val="right"/>
            </w:pPr>
            <w:r/>
            <w:r>
              <w:rPr>
                <w:rFonts w:ascii="Times New Roman" w:hAnsi="Times New Roman"/>
                <w:sz w:val="20"/>
              </w:rPr>
              <w:t>1,4 %</w:t>
            </w:r>
          </w:p>
        </w:tc>
      </w:tr>
    </w:tbl>
    <w:p>
      <w:pPr>
        <w:spacing w:line="240" w:lineRule="auto" w:before="60" w:after="240"/>
      </w:pPr>
      <w:r>
        <w:rPr>
          <w:rFonts w:ascii="Times New Roman" w:hAnsi="Times New Roman"/>
          <w:i/>
          <w:sz w:val="20"/>
        </w:rPr>
        <w:t>Nota.</w:t>
      </w:r>
      <w:r>
        <w:rPr>
          <w:rFonts w:ascii="Times New Roman" w:hAnsi="Times New Roman"/>
          <w:sz w:val="20"/>
        </w:rPr>
        <w:t xml:space="preserve"> Elaboración propia a partir de los registros de GitHub Actions y de las hojas de cotejo observacional en el aula. Las categorías no representan etapas mutuamente excluyentes ni necesariamente acumulativas. El cuestionario web interactivo también estuvo disponible mediante acceso directo desde el navegador (sin requerir clonación previa del repositorio). Los datos de ejecuciones de integración continua se obtuvieron de los registros de GitHub Actions. El acceso al repositorio, la clonación, la ejecución local de scripts y la realización de confirmaciones de cambios fueron registrados mediante observación directa y asistencia técnica en el aula. Se consideró culminación autónoma la obtención de 100 puntos en GitHub Actions durante el horario sincrónico del taller, sin intervención directa del equipo capacitador sobre el equipo, los archivos o los comandos ejecutados por el participante.</w:t>
      </w:r>
    </w:p>
    <w:p>
      <w:pPr>
        <w:spacing w:line="240" w:lineRule="auto" w:after="120" w:before="0"/>
      </w:pPr>
      <w:r>
        <w:rPr>
          <w:rFonts w:ascii="Times New Roman" w:hAnsi="Times New Roman"/>
          <w:sz w:val="24"/>
        </w:rPr>
        <w:t>Como se observa en la Tabla 1, mientras que el 74,3 % de los asistentes resolvió con éxito las actividades conceptuales provistas mediante la interfaz web desacoplada (</w:t>
      </w:r>
      <w:r>
        <w:rPr>
          <w:rFonts w:ascii="Consolas" w:hAnsi="Consolas"/>
          <w:sz w:val="21"/>
        </w:rPr>
        <w:t>index.html</w:t>
      </w:r>
      <w:r>
        <w:rPr>
          <w:rFonts w:ascii="Times New Roman" w:hAnsi="Times New Roman"/>
          <w:sz w:val="24"/>
        </w:rPr>
        <w:t xml:space="preserve">), únicamente 6 personas (8,6 %) lograron sincronizar cambios remotos hacia GitHub, y </w:t>
      </w:r>
      <w:r>
        <w:rPr>
          <w:rFonts w:ascii="Times New Roman" w:hAnsi="Times New Roman"/>
          <w:b/>
          <w:sz w:val="24"/>
        </w:rPr>
        <w:t>un único participante (1,4 %) completó de manera plenamente autónoma la totalidad de los requisitos verificados por GitHub Actions (100 puntos)</w:t>
      </w:r>
      <w:r>
        <w:rPr>
          <w:rFonts w:ascii="Times New Roman" w:hAnsi="Times New Roman"/>
          <w:sz w:val="24"/>
        </w:rPr>
        <w:t xml:space="preserve"> durante el horario del taller.</w:t>
      </w:r>
    </w:p>
    <w:p>
      <w:pPr>
        <w:spacing w:before="200" w:after="80"/>
        <w:jc w:val="left"/>
      </w:pPr>
      <w:r>
        <w:rPr>
          <w:rFonts w:ascii="Times New Roman" w:hAnsi="Times New Roman"/>
          <w:b/>
          <w:sz w:val="24"/>
        </w:rPr>
        <w:t>3.3. Factores asociados a la adopción y barreras emergentes (PI3)</w:t>
      </w:r>
    </w:p>
    <w:p>
      <w:pPr>
        <w:spacing w:line="240" w:lineRule="auto" w:after="120" w:before="0"/>
      </w:pPr>
      <w:r>
        <w:rPr>
          <w:rFonts w:ascii="Times New Roman" w:hAnsi="Times New Roman"/>
          <w:sz w:val="24"/>
        </w:rPr>
        <w:t>El análisis temático de las notas de campo y las consultas de los participantes permitió identificar tres patrones recurrentes asociados con la brecha observada en la culminación del flujo técnico:</w:t>
      </w:r>
    </w:p>
    <w:p>
      <w:pPr>
        <w:spacing w:line="240" w:lineRule="auto" w:after="120" w:before="0"/>
      </w:pPr>
      <w:r>
        <w:rPr>
          <w:rFonts w:ascii="Times New Roman" w:hAnsi="Times New Roman"/>
          <w:sz w:val="24"/>
        </w:rPr>
        <w:t xml:space="preserve">1. </w:t>
      </w:r>
      <w:r>
        <w:rPr>
          <w:rFonts w:ascii="Times New Roman" w:hAnsi="Times New Roman"/>
          <w:b/>
          <w:sz w:val="24"/>
        </w:rPr>
        <w:t>Fricción instrumental con el ecosistema de control de versiones (Git/CLI):</w:t>
      </w:r>
      <w:r>
        <w:rPr>
          <w:rFonts w:ascii="Times New Roman" w:hAnsi="Times New Roman"/>
          <w:sz w:val="24"/>
        </w:rPr>
        <w:t xml:space="preserve"> La categoría de barrera con mayor frecuencia de incidencias registradas en las notas de campo (n = 28 incidencias documentadas) no estuvo vinculada con la comprensión pedagógica de MCP, sino con incidentes instrumentales durante el uso de la terminal: errores en la autenticación de cuentas mediante tokens de acceso personal en GitHub, fallas de sintaxis en comandos de consola (</w:t>
      </w:r>
      <w:r>
        <w:rPr>
          <w:rFonts w:ascii="Consolas" w:hAnsi="Consolas"/>
          <w:sz w:val="21"/>
        </w:rPr>
        <w:t>git commit -m</w:t>
      </w:r>
      <w:r>
        <w:rPr>
          <w:rFonts w:ascii="Times New Roman" w:hAnsi="Times New Roman"/>
          <w:sz w:val="24"/>
        </w:rPr>
        <w:t>) y desorientación ante estados de bifurcación o ramas desacopladas (</w:t>
      </w:r>
      <w:r>
        <w:rPr>
          <w:rFonts w:ascii="Times New Roman" w:hAnsi="Times New Roman"/>
          <w:i/>
          <w:sz w:val="24"/>
        </w:rPr>
        <w:t>detached HEAD</w:t>
      </w:r>
      <w:r>
        <w:rPr>
          <w:rFonts w:ascii="Times New Roman" w:hAnsi="Times New Roman"/>
          <w:sz w:val="24"/>
        </w:rPr>
        <w:t>).</w:t>
      </w:r>
    </w:p>
    <w:p>
      <w:pPr>
        <w:spacing w:line="240" w:lineRule="auto" w:after="120" w:before="0"/>
      </w:pPr>
      <w:r>
        <w:rPr>
          <w:rFonts w:ascii="Times New Roman" w:hAnsi="Times New Roman"/>
          <w:sz w:val="24"/>
        </w:rPr>
        <w:t xml:space="preserve">2. </w:t>
      </w:r>
      <w:r>
        <w:rPr>
          <w:rFonts w:ascii="Times New Roman" w:hAnsi="Times New Roman"/>
          <w:b/>
          <w:sz w:val="24"/>
        </w:rPr>
        <w:t>Modalidad de participación predominantemente observacional:</w:t>
      </w:r>
      <w:r>
        <w:rPr>
          <w:rFonts w:ascii="Times New Roman" w:hAnsi="Times New Roman"/>
          <w:sz w:val="24"/>
        </w:rPr>
        <w:t xml:space="preserve"> Se registraron casos reiterados (n = 21 observaciones) de participantes que siguieron las demostraciones del instructor en pantalla, tomaron notas metodológicas y postergaron la configuración en sus propios equipos, manifestando explícitamente su preferencia por diferir la ejecución técnica para una instancia asincrónica posterior sin presión temporal.</w:t>
      </w:r>
    </w:p>
    <w:p>
      <w:pPr>
        <w:spacing w:line="240" w:lineRule="auto" w:after="120" w:before="0"/>
      </w:pPr>
      <w:r>
        <w:rPr>
          <w:rFonts w:ascii="Times New Roman" w:hAnsi="Times New Roman"/>
          <w:sz w:val="24"/>
        </w:rPr>
        <w:t xml:space="preserve">3. </w:t>
      </w:r>
      <w:r>
        <w:rPr>
          <w:rFonts w:ascii="Times New Roman" w:hAnsi="Times New Roman"/>
          <w:b/>
          <w:sz w:val="24"/>
        </w:rPr>
        <w:t>Disposición favorable hacia interfaces interactivas desacopladas:</w:t>
      </w:r>
      <w:r>
        <w:rPr>
          <w:rFonts w:ascii="Times New Roman" w:hAnsi="Times New Roman"/>
          <w:sz w:val="24"/>
        </w:rPr>
        <w:t xml:space="preserve"> Se observó una marcada fluidez operativa (n = 15 registros positivos) cuando los participantes interactuaron con el cuestionario y los recursos didácticos web locales en HTML/JS. Al no requerir dependencias de compilación ni comandos de consola, estos recursos permitieron a los asistentes validar conceptos algorítmicos y de evaluación sin experimentar bloqueos técnicos.</w:t>
      </w:r>
    </w:p>
    <w:p>
      <w:pPr>
        <w:spacing w:line="240" w:lineRule="auto" w:after="120" w:before="0"/>
      </w:pPr>
      <w:r>
        <w:rPr>
          <w:rFonts w:ascii="Times New Roman" w:hAnsi="Times New Roman"/>
          <w:sz w:val="24"/>
        </w:rPr>
        <w:t>Estos patrones fundamentaron tres necesidades de andamiaje: una ruta preliminar de alfabetización en Git, la disponibilidad de interfaces visuales equivalentes y una secuenciación que permita apropiarse primero de los principios pedagógicos antes de incorporar el flujo técnico completo.</w:t>
      </w:r>
    </w:p>
    <w:p>
      <w:pPr>
        <w:spacing w:before="280" w:after="120"/>
        <w:jc w:val="center"/>
      </w:pPr>
      <w:r>
        <w:rPr>
          <w:rFonts w:ascii="Times New Roman" w:hAnsi="Times New Roman"/>
          <w:b/>
          <w:sz w:val="24"/>
        </w:rPr>
        <w:t>4. DISCUSIÓN</w:t>
      </w:r>
    </w:p>
    <w:p>
      <w:pPr>
        <w:spacing w:before="200" w:after="80"/>
        <w:jc w:val="left"/>
      </w:pPr>
      <w:r>
        <w:rPr>
          <w:rFonts w:ascii="Times New Roman" w:hAnsi="Times New Roman"/>
          <w:b/>
          <w:sz w:val="24"/>
        </w:rPr>
        <w:t>4.1. La brecha de instrumentación (*Tooling Gap*) como factor crítico</w:t>
      </w:r>
    </w:p>
    <w:p>
      <w:pPr>
        <w:spacing w:line="240" w:lineRule="auto" w:after="120" w:before="0"/>
      </w:pPr>
      <w:r>
        <w:rPr>
          <w:rFonts w:ascii="Times New Roman" w:hAnsi="Times New Roman"/>
          <w:sz w:val="24"/>
        </w:rPr>
        <w:t>El marcado contraste entre la elevada tasa de asistencia de la cohorte (87,5 %) y la baja culminación sincrónica del flujo automatizado en GitHub Actions (1,4 %) constituye el resultado descriptivo más destacado de la experiencia.</w:t>
      </w:r>
    </w:p>
    <w:p>
      <w:pPr>
        <w:spacing w:line="240" w:lineRule="auto" w:after="120" w:before="0"/>
      </w:pPr>
      <w:r>
        <w:rPr>
          <w:rFonts w:ascii="Times New Roman" w:hAnsi="Times New Roman"/>
          <w:sz w:val="24"/>
        </w:rPr>
        <w:t>Los resultados de este estudio sugieren que la incorporación simultánea de herramientas profesionales de integración continua y control de versiones puede introducir una carga instrumental secundaria que compite con los objetivos pedagógicos centrales del taller. Cuando se intenta capacitar en el diseño de agentes de IA y se exige simultáneamente el dominio de flujos completos de Git y terminal, la fricción instrumental puede dificultar la apropiación pedagógica.</w:t>
      </w:r>
    </w:p>
    <w:p>
      <w:pPr>
        <w:spacing w:line="240" w:lineRule="auto" w:after="120" w:before="0"/>
      </w:pPr>
      <w:r>
        <w:rPr>
          <w:rFonts w:ascii="Times New Roman" w:hAnsi="Times New Roman"/>
          <w:sz w:val="24"/>
        </w:rPr>
        <w:t>Este hallazgo fundamenta la necesidad de repensar los canales de entrega. Para que arquitecturas basadas en MCP puedan ser adoptadas de forma amplia por docentes universitarios de diversas disciplinas, es imprescindible encapsular la complejidad de la consola de comandos mediante editores con interfaces gráficas amigables, extensiones integradas o plataformas de aprendizaje nativas que no requieran manipulación directa de flujos Git de bajo nivel.</w:t>
      </w:r>
    </w:p>
    <w:p>
      <w:pPr>
        <w:spacing w:before="200" w:after="80"/>
        <w:jc w:val="left"/>
      </w:pPr>
      <w:r>
        <w:rPr>
          <w:rFonts w:ascii="Times New Roman" w:hAnsi="Times New Roman"/>
          <w:b/>
          <w:sz w:val="24"/>
        </w:rPr>
        <w:t>4.2. Especificaciones formales y consistencia en los prediagnósticos</w:t>
      </w:r>
    </w:p>
    <w:p>
      <w:pPr>
        <w:spacing w:line="240" w:lineRule="auto" w:after="120" w:before="0"/>
      </w:pPr>
      <w:r>
        <w:rPr>
          <w:rFonts w:ascii="Times New Roman" w:hAnsi="Times New Roman"/>
          <w:sz w:val="24"/>
        </w:rPr>
        <w:t xml:space="preserve">Durante las pruebas de pilotaje curricular en </w:t>
      </w:r>
      <w:r>
        <w:rPr>
          <w:rFonts w:ascii="Times New Roman" w:hAnsi="Times New Roman"/>
          <w:i/>
          <w:sz w:val="24"/>
        </w:rPr>
        <w:t>Programación II</w:t>
      </w:r>
      <w:r>
        <w:rPr>
          <w:rFonts w:ascii="Times New Roman" w:hAnsi="Times New Roman"/>
          <w:sz w:val="24"/>
        </w:rPr>
        <w:t xml:space="preserve"> y </w:t>
      </w:r>
      <w:r>
        <w:rPr>
          <w:rFonts w:ascii="Times New Roman" w:hAnsi="Times New Roman"/>
          <w:i/>
          <w:sz w:val="24"/>
        </w:rPr>
        <w:t>Algoritmos y Programación</w:t>
      </w:r>
      <w:r>
        <w:rPr>
          <w:rFonts w:ascii="Times New Roman" w:hAnsi="Times New Roman"/>
          <w:sz w:val="24"/>
        </w:rPr>
        <w:t xml:space="preserve">, se observó una mayor consistencia aparente en la estructura de los borradores de evaluación cuando el agente operó subordinado a archivos </w:t>
      </w:r>
      <w:r>
        <w:rPr>
          <w:rFonts w:ascii="Consolas" w:hAnsi="Consolas"/>
          <w:sz w:val="21"/>
        </w:rPr>
        <w:t>AGENTS.md</w:t>
      </w:r>
      <w:r>
        <w:rPr>
          <w:rFonts w:ascii="Times New Roman" w:hAnsi="Times New Roman"/>
          <w:sz w:val="24"/>
        </w:rPr>
        <w:t xml:space="preserve"> y rúbricas analíticas formalizadas.</w:t>
      </w:r>
    </w:p>
    <w:p>
      <w:pPr>
        <w:spacing w:line="240" w:lineRule="auto" w:after="120" w:before="0"/>
      </w:pPr>
      <w:r>
        <w:rPr>
          <w:rFonts w:ascii="Times New Roman" w:hAnsi="Times New Roman"/>
          <w:sz w:val="24"/>
        </w:rPr>
        <w:t>La exigencia protocolizada de vincular cada dictamen a evidencias localizables en el código facilitó la detección docente de afirmaciones erróneas y estableció condiciones operativas orientadas a reducir el riesgo de aceptar evaluaciones no verificadas. Al limitar las herramientas del agente a la inspección pericial mediante MCP, se restringió operativamente la generación directa de soluciones completas y se orientó la respuesta hacia observaciones diagnósticas y preguntas de andamiaje. No obstante, esta consistencia observada requiere ser validada en investigaciones futuras mediante coeficientes estandarizados de concordancia interjueces y diseños cuasiexperimentales controlados.</w:t>
      </w:r>
    </w:p>
    <w:p>
      <w:pPr>
        <w:spacing w:before="200" w:after="80"/>
        <w:jc w:val="left"/>
      </w:pPr>
      <w:r>
        <w:rPr>
          <w:rFonts w:ascii="Times New Roman" w:hAnsi="Times New Roman"/>
          <w:b/>
          <w:sz w:val="24"/>
        </w:rPr>
        <w:t>4.3. Supervisión humana (*Human-in-the-Loop*) y gobernanza ética</w:t>
      </w:r>
    </w:p>
    <w:p>
      <w:pPr>
        <w:spacing w:line="240" w:lineRule="auto" w:after="120" w:before="0"/>
      </w:pPr>
      <w:r>
        <w:rPr>
          <w:rFonts w:ascii="Times New Roman" w:hAnsi="Times New Roman"/>
          <w:sz w:val="24"/>
        </w:rPr>
        <w:t>La experiencia respalda el uso de los agentes como asistentes de diagnóstico preliminar, manteniendo la decisión evaluativa final bajo responsabilidad docente. Durante el pilotaje, el equipo docente percibió que el prediagnóstico asistido disminuía el trabajo rutinario de localización y cotejo de patrones de código; sin embargo, esta percepción no fue cuantificada mediante un protocolo temporal controlado.</w:t>
      </w:r>
    </w:p>
    <w:p>
      <w:pPr>
        <w:spacing w:line="240" w:lineRule="auto" w:after="120" w:before="0"/>
      </w:pPr>
      <w:r>
        <w:rPr>
          <w:rFonts w:ascii="Times New Roman" w:hAnsi="Times New Roman"/>
          <w:sz w:val="24"/>
        </w:rPr>
        <w:t>Delegar la retroalimentación final directamente en un modelo generativo sin intervención humana vulnera el principio de responsabilidad pedagógica e incrementa la desprotección del estudiante ante eventuales sesgos algorítmicos. La supervisión activa no representa un obstáculo burocrático, sino la condición indispensable para que la tecnología opere de manera ética y formativamente significativa.</w:t>
      </w:r>
    </w:p>
    <w:p>
      <w:pPr>
        <w:spacing w:before="200" w:after="80"/>
        <w:jc w:val="left"/>
      </w:pPr>
      <w:r>
        <w:rPr>
          <w:rFonts w:ascii="Times New Roman" w:hAnsi="Times New Roman"/>
          <w:b/>
          <w:sz w:val="24"/>
        </w:rPr>
        <w:t>4.4. Implicaciones para la formación docente en informática</w:t>
      </w:r>
    </w:p>
    <w:p>
      <w:pPr>
        <w:spacing w:line="240" w:lineRule="auto" w:after="120" w:before="0"/>
      </w:pPr>
      <w:r>
        <w:rPr>
          <w:rFonts w:ascii="Times New Roman" w:hAnsi="Times New Roman"/>
          <w:sz w:val="24"/>
        </w:rPr>
        <w:t>La interacción entre docentes de ingeniería en ejercicio y futuros formadores en informática educativa permitió observar aportes potencialmente complementarios para la innovación educativa. De manera exploratoria, y sin pretensión de comparación sistemática entre grupos, las notas de campo sugirieron diferencias de énfasis: en las intervenciones de participantes vinculados con ingeniería se registraron consultas relacionadas con el control sintáctico y el aislamiento de entornos, mientras que entre los perfiles de formación pedagógica fueron recurrentes las preguntas sobre rúbricas, lenguaje de retroalimentación y accesibilidad. Integrar ambas miradas resulta relevante para evitar tanto el determinismo técnico como la adopción pedagógica ingenua de la IA.</w:t>
      </w:r>
    </w:p>
    <w:p>
      <w:pPr>
        <w:spacing w:before="200" w:after="80"/>
        <w:jc w:val="left"/>
      </w:pPr>
      <w:r>
        <w:rPr>
          <w:rFonts w:ascii="Times New Roman" w:hAnsi="Times New Roman"/>
          <w:b/>
          <w:sz w:val="24"/>
        </w:rPr>
        <w:t>4.5. Limitaciones del estudio</w:t>
      </w:r>
    </w:p>
    <w:p>
      <w:pPr>
        <w:spacing w:line="240" w:lineRule="auto" w:after="120" w:before="0"/>
      </w:pPr>
      <w:r>
        <w:rPr>
          <w:rFonts w:ascii="Times New Roman" w:hAnsi="Times New Roman"/>
          <w:sz w:val="24"/>
        </w:rPr>
        <w:t>Los hallazgos del presente trabajo deben interpretarse a la luz de diversas limitaciones metodológicas:</w:t>
      </w:r>
    </w:p>
    <w:p>
      <w:pPr>
        <w:spacing w:line="240" w:lineRule="auto" w:after="120" w:before="0"/>
      </w:pPr>
      <w:r>
        <w:rPr>
          <w:rFonts w:ascii="Times New Roman" w:hAnsi="Times New Roman"/>
          <w:sz w:val="24"/>
        </w:rPr>
        <w:t xml:space="preserve">1. </w:t>
      </w:r>
      <w:r>
        <w:rPr>
          <w:rFonts w:ascii="Times New Roman" w:hAnsi="Times New Roman"/>
          <w:b/>
          <w:sz w:val="24"/>
        </w:rPr>
        <w:t>Cohorte no probabilística y autoseleccionada:</w:t>
      </w:r>
      <w:r>
        <w:rPr>
          <w:rFonts w:ascii="Times New Roman" w:hAnsi="Times New Roman"/>
          <w:sz w:val="24"/>
        </w:rPr>
        <w:t xml:space="preserve"> La población del taller estuvo conformada por una cohorte no probabilística y autoseleccionada de participantes voluntarios pertenecientes a dos instituciones de una misma región, lo que restringe la generalización de los resultados y refleja la predisposición inicial de quienes respondieron a la convocatoria.</w:t>
      </w:r>
    </w:p>
    <w:p>
      <w:pPr>
        <w:spacing w:line="240" w:lineRule="auto" w:after="120" w:before="0"/>
      </w:pPr>
      <w:r>
        <w:rPr>
          <w:rFonts w:ascii="Times New Roman" w:hAnsi="Times New Roman"/>
          <w:sz w:val="24"/>
        </w:rPr>
        <w:t xml:space="preserve">2. </w:t>
      </w:r>
      <w:r>
        <w:rPr>
          <w:rFonts w:ascii="Times New Roman" w:hAnsi="Times New Roman"/>
          <w:b/>
          <w:sz w:val="24"/>
        </w:rPr>
        <w:t>Diseño descriptivo sin grupo de comparación:</w:t>
      </w:r>
      <w:r>
        <w:rPr>
          <w:rFonts w:ascii="Times New Roman" w:hAnsi="Times New Roman"/>
          <w:sz w:val="24"/>
        </w:rPr>
        <w:t xml:space="preserve"> La investigación no contempló un grupo de control ni mediciones de tipo pretest/postest para evaluar cuantitativamente el aprendizaje o la ganancia de competencias en comparación con metodologías formativas tradicionales.</w:t>
      </w:r>
    </w:p>
    <w:p>
      <w:pPr>
        <w:spacing w:line="240" w:lineRule="auto" w:after="120" w:before="0"/>
      </w:pPr>
      <w:r>
        <w:rPr>
          <w:rFonts w:ascii="Times New Roman" w:hAnsi="Times New Roman"/>
          <w:sz w:val="24"/>
        </w:rPr>
        <w:t xml:space="preserve">3. </w:t>
      </w:r>
      <w:r>
        <w:rPr>
          <w:rFonts w:ascii="Times New Roman" w:hAnsi="Times New Roman"/>
          <w:b/>
          <w:sz w:val="24"/>
        </w:rPr>
        <w:t>Ausencia de mediciones de línea de base:</w:t>
      </w:r>
      <w:r>
        <w:rPr>
          <w:rFonts w:ascii="Times New Roman" w:hAnsi="Times New Roman"/>
          <w:sz w:val="24"/>
        </w:rPr>
        <w:t xml:space="preserve"> No se aplicó un instrumento previo estandarizado para cuantificar el nivel de competencia de los participantes en herramientas de control de versiones (Git) o en el uso de IA generativa, lo que impide aislar con precisión el peso relativo de las habilidades previas sobre la baja culminación del pipeline.</w:t>
      </w:r>
    </w:p>
    <w:p>
      <w:pPr>
        <w:spacing w:line="240" w:lineRule="auto" w:after="120" w:before="0"/>
      </w:pPr>
      <w:r>
        <w:rPr>
          <w:rFonts w:ascii="Times New Roman" w:hAnsi="Times New Roman"/>
          <w:sz w:val="24"/>
        </w:rPr>
        <w:t xml:space="preserve">4. </w:t>
      </w:r>
      <w:r>
        <w:rPr>
          <w:rFonts w:ascii="Times New Roman" w:hAnsi="Times New Roman"/>
          <w:b/>
          <w:sz w:val="24"/>
        </w:rPr>
        <w:t>Restricción temporal del taller:</w:t>
      </w:r>
      <w:r>
        <w:rPr>
          <w:rFonts w:ascii="Times New Roman" w:hAnsi="Times New Roman"/>
          <w:sz w:val="24"/>
        </w:rPr>
        <w:t xml:space="preserve"> La duración de diez horas reloj concentradas en dos jornadas consecutivas pudo haber acentuado la sobrecarga cognitiva, limitando el tiempo disponible para la resolución autónoma de contingencias técnicas complejas.</w:t>
      </w:r>
    </w:p>
    <w:p>
      <w:pPr>
        <w:spacing w:line="240" w:lineRule="auto" w:after="120" w:before="0"/>
      </w:pPr>
      <w:r>
        <w:rPr>
          <w:rFonts w:ascii="Times New Roman" w:hAnsi="Times New Roman"/>
          <w:sz w:val="24"/>
        </w:rPr>
        <w:t xml:space="preserve">5. </w:t>
      </w:r>
      <w:r>
        <w:rPr>
          <w:rFonts w:ascii="Times New Roman" w:hAnsi="Times New Roman"/>
          <w:b/>
          <w:sz w:val="24"/>
        </w:rPr>
        <w:t>Doble rol del equipo investigador:</w:t>
      </w:r>
      <w:r>
        <w:rPr>
          <w:rFonts w:ascii="Times New Roman" w:hAnsi="Times New Roman"/>
          <w:sz w:val="24"/>
        </w:rPr>
        <w:t xml:space="preserve"> La participación de los investigadores como diseñadores de la arquitectura, docentes a cargo del pilotaje y capacitadores en el taller introduce un potencial sesgo de observación, atenuado parcialmente mediante el uso de registros técnicos automatizados.</w:t>
      </w:r>
    </w:p>
    <w:p>
      <w:pPr>
        <w:spacing w:line="240" w:lineRule="auto" w:after="120" w:before="0"/>
      </w:pPr>
      <w:r>
        <w:rPr>
          <w:rFonts w:ascii="Times New Roman" w:hAnsi="Times New Roman"/>
          <w:sz w:val="24"/>
        </w:rPr>
        <w:t xml:space="preserve">6. </w:t>
      </w:r>
      <w:r>
        <w:rPr>
          <w:rFonts w:ascii="Times New Roman" w:hAnsi="Times New Roman"/>
          <w:b/>
          <w:sz w:val="24"/>
        </w:rPr>
        <w:t>Carácter preliminar del análisis temporal:</w:t>
      </w:r>
      <w:r>
        <w:rPr>
          <w:rFonts w:ascii="Times New Roman" w:hAnsi="Times New Roman"/>
          <w:sz w:val="24"/>
        </w:rPr>
        <w:t xml:space="preserve"> Las observaciones sobre el ahorro de tiempo docente en la revisión son cualitativas y proceden de la experiencia de pilotaje, no habiendo sido sometidas a un protocolo formal de cronometraje y comparación experimental.</w:t>
      </w:r>
    </w:p>
    <w:p>
      <w:pPr>
        <w:spacing w:line="240" w:lineRule="auto" w:after="120" w:before="0"/>
      </w:pPr>
      <w:r>
        <w:rPr>
          <w:rFonts w:ascii="Times New Roman" w:hAnsi="Times New Roman"/>
          <w:sz w:val="24"/>
        </w:rPr>
        <w:t xml:space="preserve">7. </w:t>
      </w:r>
      <w:r>
        <w:rPr>
          <w:rFonts w:ascii="Times New Roman" w:hAnsi="Times New Roman"/>
          <w:b/>
          <w:sz w:val="24"/>
        </w:rPr>
        <w:t>Encuadre como validación técnica de bajo riesgo:</w:t>
      </w:r>
      <w:r>
        <w:rPr>
          <w:rFonts w:ascii="Times New Roman" w:hAnsi="Times New Roman"/>
          <w:sz w:val="24"/>
        </w:rPr>
        <w:t xml:space="preserve"> Si bien se garantizó la anonimización, el carácter voluntario y la comunicación previa del propósito formativo y analítico, la experiencia no contó con una evaluación previa ni con una certificación formal de exención emitida por un comité de ética institucional, habiéndose encuadrado la recolección empírica como una evaluación de telemetría y observabilidad de artefactos tecnológicos de riesgo mínimo.</w:t>
      </w:r>
    </w:p>
    <w:p>
      <w:pPr>
        <w:spacing w:before="280" w:after="120"/>
        <w:jc w:val="center"/>
      </w:pPr>
      <w:r>
        <w:rPr>
          <w:rFonts w:ascii="Times New Roman" w:hAnsi="Times New Roman"/>
          <w:b/>
          <w:sz w:val="24"/>
        </w:rPr>
        <w:t>5. CONCLUSIONES Y TRABAJO FUTURO</w:t>
      </w:r>
    </w:p>
    <w:p>
      <w:pPr>
        <w:spacing w:line="240" w:lineRule="auto" w:after="120" w:before="0"/>
      </w:pPr>
      <w:r>
        <w:rPr>
          <w:rFonts w:ascii="Times New Roman" w:hAnsi="Times New Roman"/>
          <w:sz w:val="24"/>
        </w:rPr>
        <w:t>El presente artículo expuso el diseño, implementación y estudio de transferencia de una arquitectura sociotécnica para la evaluación continua asistida por agentes de inteligencia artificial en programación universitaria, basada en el Protocolo de Contexto de Modelo (MCP), especificaciones en texto plano (</w:t>
      </w:r>
      <w:r>
        <w:rPr>
          <w:rFonts w:ascii="Consolas" w:hAnsi="Consolas"/>
          <w:sz w:val="21"/>
        </w:rPr>
        <w:t>AGENTS.md</w:t>
      </w:r>
      <w:r>
        <w:rPr>
          <w:rFonts w:ascii="Times New Roman" w:hAnsi="Times New Roman"/>
          <w:sz w:val="24"/>
        </w:rPr>
        <w:t xml:space="preserve">, </w:t>
      </w:r>
      <w:r>
        <w:rPr>
          <w:rFonts w:ascii="Consolas" w:hAnsi="Consolas"/>
          <w:sz w:val="21"/>
        </w:rPr>
        <w:t>MEMORY.md</w:t>
      </w:r>
      <w:r>
        <w:rPr>
          <w:rFonts w:ascii="Times New Roman" w:hAnsi="Times New Roman"/>
          <w:sz w:val="24"/>
        </w:rPr>
        <w:t>, rúbricas analíticas) y supervisión docente activa (</w:t>
      </w:r>
      <w:r>
        <w:rPr>
          <w:rFonts w:ascii="Times New Roman" w:hAnsi="Times New Roman"/>
          <w:i/>
          <w:sz w:val="24"/>
        </w:rPr>
        <w:t>Human-in-the-Loop</w:t>
      </w:r>
      <w:r>
        <w:rPr>
          <w:rFonts w:ascii="Times New Roman" w:hAnsi="Times New Roman"/>
          <w:sz w:val="24"/>
        </w:rPr>
        <w:t>).</w:t>
      </w:r>
    </w:p>
    <w:p>
      <w:pPr>
        <w:spacing w:line="240" w:lineRule="auto" w:after="120" w:before="0"/>
      </w:pPr>
      <w:r>
        <w:rPr>
          <w:rFonts w:ascii="Times New Roman" w:hAnsi="Times New Roman"/>
          <w:sz w:val="24"/>
        </w:rPr>
        <w:t>Las principales conclusiones son:</w:t>
      </w:r>
    </w:p>
    <w:p>
      <w:pPr>
        <w:spacing w:line="240" w:lineRule="auto" w:after="120" w:before="0"/>
      </w:pPr>
      <w:r>
        <w:rPr>
          <w:rFonts w:ascii="Times New Roman" w:hAnsi="Times New Roman"/>
          <w:sz w:val="24"/>
        </w:rPr>
        <w:t xml:space="preserve">1. </w:t>
      </w:r>
      <w:r>
        <w:rPr>
          <w:rFonts w:ascii="Times New Roman" w:hAnsi="Times New Roman"/>
          <w:b/>
          <w:sz w:val="24"/>
        </w:rPr>
        <w:t>Viabilidad técnica y fundamentación pedagógica preliminar:</w:t>
      </w:r>
      <w:r>
        <w:rPr>
          <w:rFonts w:ascii="Times New Roman" w:hAnsi="Times New Roman"/>
          <w:sz w:val="24"/>
        </w:rPr>
        <w:t xml:space="preserve"> La articulación entre MCP y especificaciones estructuradas permite inspeccionar entornos locales de código de manera auditable y reducir el acoplamiento con integraciones propietarias específicas, siempre que el servidor opere con rutas restringidas, privilegios mínimos y mecanismos adecuados de protección de credenciales.</w:t>
      </w:r>
    </w:p>
    <w:p>
      <w:pPr>
        <w:spacing w:line="240" w:lineRule="auto" w:after="120" w:before="0"/>
      </w:pPr>
      <w:r>
        <w:rPr>
          <w:rFonts w:ascii="Times New Roman" w:hAnsi="Times New Roman"/>
          <w:sz w:val="24"/>
        </w:rPr>
        <w:t xml:space="preserve">2. </w:t>
      </w:r>
      <w:r>
        <w:rPr>
          <w:rFonts w:ascii="Times New Roman" w:hAnsi="Times New Roman"/>
          <w:b/>
          <w:sz w:val="24"/>
        </w:rPr>
        <w:t>Relevancia del prediagnóstico asistido:</w:t>
      </w:r>
      <w:r>
        <w:rPr>
          <w:rFonts w:ascii="Times New Roman" w:hAnsi="Times New Roman"/>
          <w:sz w:val="24"/>
        </w:rPr>
        <w:t xml:space="preserve"> La subordinación del agente a un rol de asistente pericial supervisado preserva la autoridad pedagógica docente, favoreciendo una retroalimentación formativa contextualizada y sometida a revisión ética y pedagógica humana.</w:t>
      </w:r>
    </w:p>
    <w:p>
      <w:pPr>
        <w:spacing w:line="240" w:lineRule="auto" w:after="120" w:before="0"/>
      </w:pPr>
      <w:r>
        <w:rPr>
          <w:rFonts w:ascii="Times New Roman" w:hAnsi="Times New Roman"/>
          <w:sz w:val="24"/>
        </w:rPr>
        <w:t xml:space="preserve">3. </w:t>
      </w:r>
      <w:r>
        <w:rPr>
          <w:rFonts w:ascii="Times New Roman" w:hAnsi="Times New Roman"/>
          <w:b/>
          <w:sz w:val="24"/>
        </w:rPr>
        <w:t>Identificación de la brecha instrumental:</w:t>
      </w:r>
      <w:r>
        <w:rPr>
          <w:rFonts w:ascii="Times New Roman" w:hAnsi="Times New Roman"/>
          <w:sz w:val="24"/>
        </w:rPr>
        <w:t xml:space="preserve"> El estudio identificó la fricción asociada con Git y la consola como el principal cuello de botella observado durante el taller, respaldando la conveniencia de desarrollar interfaces visuales y recursos desacoplados que faciliten una apropiación pedagógica gradual.</w:t>
      </w:r>
    </w:p>
    <w:p>
      <w:pPr>
        <w:spacing w:line="240" w:lineRule="auto" w:after="120" w:before="0"/>
      </w:pPr>
      <w:r>
        <w:rPr>
          <w:rFonts w:ascii="Times New Roman" w:hAnsi="Times New Roman"/>
          <w:sz w:val="24"/>
        </w:rPr>
        <w:t>Como líneas de trabajo futuro se plantean:</w:t>
      </w:r>
    </w:p>
    <w:p>
      <w:pPr>
        <w:spacing w:line="240" w:lineRule="auto" w:after="120" w:before="0"/>
      </w:pPr>
      <w:r>
        <w:rPr>
          <w:rFonts w:ascii="Times New Roman" w:hAnsi="Times New Roman"/>
          <w:sz w:val="24"/>
        </w:rPr>
        <w:t>- El desarrollo de estudios cuasiexperimentales con seguimiento temporal y grupos de control para medir el impacto de la retroalimentación asistida sobre el rendimiento académico final de los estudiantes.</w:t>
      </w:r>
    </w:p>
    <w:p>
      <w:pPr>
        <w:spacing w:line="240" w:lineRule="auto" w:after="120" w:before="0"/>
      </w:pPr>
      <w:r>
        <w:rPr>
          <w:rFonts w:ascii="Times New Roman" w:hAnsi="Times New Roman"/>
          <w:sz w:val="24"/>
        </w:rPr>
        <w:t>- La evaluación de plataformas educativas e interfaces gráficas simplificadas que permitan operar con el protocolo MCP reduciendo la fricción de consola detectada.</w:t>
      </w:r>
    </w:p>
    <w:p>
      <w:pPr>
        <w:spacing w:line="240" w:lineRule="auto" w:after="120" w:before="0"/>
      </w:pPr>
      <w:r>
        <w:rPr>
          <w:rFonts w:ascii="Times New Roman" w:hAnsi="Times New Roman"/>
          <w:sz w:val="24"/>
        </w:rPr>
        <w:t>- La profundización en estudios de concordancia interjueces para cuantificar la consistencia evaluativa alcanzada mediante el uso de especificaciones matriciales formales.</w:t>
      </w:r>
    </w:p>
    <w:p>
      <w:pPr>
        <w:spacing w:before="280" w:after="120"/>
        <w:jc w:val="center"/>
      </w:pPr>
      <w:r>
        <w:rPr>
          <w:rFonts w:ascii="Times New Roman" w:hAnsi="Times New Roman"/>
          <w:b/>
          <w:sz w:val="24"/>
        </w:rPr>
        <w:t>6. DECLARACIONES OBLIGATORIAS</w:t>
      </w:r>
    </w:p>
    <w:p>
      <w:pPr>
        <w:spacing w:before="200" w:after="80"/>
        <w:jc w:val="left"/>
      </w:pPr>
      <w:r>
        <w:rPr>
          <w:rFonts w:ascii="Times New Roman" w:hAnsi="Times New Roman"/>
          <w:b/>
          <w:sz w:val="24"/>
        </w:rPr>
        <w:t>Declaración de financiamiento y apoyo institucional</w:t>
      </w:r>
    </w:p>
    <w:p>
      <w:pPr>
        <w:spacing w:line="240" w:lineRule="auto" w:after="120" w:before="0"/>
      </w:pPr>
      <w:r>
        <w:rPr>
          <w:rFonts w:ascii="Times New Roman" w:hAnsi="Times New Roman"/>
          <w:sz w:val="24"/>
        </w:rPr>
        <w:t>La información identificatoria sobre la fuente institucional de apoyo, financiamiento y acreditación del proyecto se ha omitido temporalmente para preservar la evaluación a doble ciego y fue comunicada al Comité Editorial mediante la plataforma OJS. Se incorporará formalmente en la versión aceptada.</w:t>
      </w:r>
    </w:p>
    <w:p>
      <w:pPr>
        <w:spacing w:before="200" w:after="80"/>
        <w:jc w:val="left"/>
      </w:pPr>
      <w:r>
        <w:rPr>
          <w:rFonts w:ascii="Times New Roman" w:hAnsi="Times New Roman"/>
          <w:b/>
          <w:sz w:val="24"/>
        </w:rPr>
        <w:t>Declaración sobre el uso de inteligencia artificial</w:t>
      </w:r>
    </w:p>
    <w:p>
      <w:pPr>
        <w:spacing w:line="240" w:lineRule="auto" w:after="120" w:before="0"/>
      </w:pPr>
      <w:r>
        <w:rPr>
          <w:rFonts w:ascii="Times New Roman" w:hAnsi="Times New Roman"/>
          <w:sz w:val="24"/>
        </w:rPr>
        <w:t>Durante la preparación de este trabajo, los autores utilizaron el entorno Antigravity IDE, operando con el modelo Claude 3.7 Sonnet, para asistir en la organización preliminar del texto, la revisión estilística del manuscrito en español y la traducción del resumen al inglés. Los autores revisaron y editaron críticamente el contenido generado o reformulado, verificaron las referencias y los datos informados, y asumen plena responsabilidad por el contenido final de la publicación.</w:t>
      </w:r>
    </w:p>
    <w:p>
      <w:pPr>
        <w:spacing w:before="200" w:after="80"/>
        <w:jc w:val="left"/>
      </w:pPr>
      <w:r>
        <w:rPr>
          <w:rFonts w:ascii="Times New Roman" w:hAnsi="Times New Roman"/>
          <w:b/>
          <w:sz w:val="24"/>
        </w:rPr>
        <w:t>Consideraciones sobre el resguardo de datos y validación técnica</w:t>
      </w:r>
    </w:p>
    <w:p>
      <w:pPr>
        <w:spacing w:line="240" w:lineRule="auto" w:after="120" w:before="0"/>
      </w:pPr>
      <w:r>
        <w:rPr>
          <w:rFonts w:ascii="Times New Roman" w:hAnsi="Times New Roman"/>
          <w:sz w:val="24"/>
        </w:rPr>
        <w:t>Al constituir una evaluación técnica de observabilidad y usabilidad de la arquitectura de software en un entorno formativo de prueba, la recolección de información se limitó a métricas técnicas de ejecución en GitHub Actions, telemetría agregada del repositorio plantilla y notas de campo estructuradas sobre incidentes instrumentales en el aula. Al inicio de los encuentros, se comunicó a los asistentes el propósito pedagógico y de indagación técnica de la experiencia, el carácter enteramente voluntario de su intervención y el tratamiento agregado y anónimo de los registros técnicos generados. No se recolectaron datos personales sensibles ni se almacenaron credenciales o identificadores que permitieran asociar desempeños o consultas con identidades individuales, ni se derivaron consecuencias académicas, laborales ni evaluativas para los participantes. Por tratarse de una validación técnica de herramientas y artefactos de software con datos de telemetría agregados y despersonalizados en un entorno de aprendizaje ordinario, la experiencia se encuadra como indagación de riesgo mínimo no sujeta a protocolos bioéticos clínicos.</w:t>
      </w:r>
    </w:p>
    <w:p>
      <w:pPr>
        <w:spacing w:before="280" w:after="120"/>
        <w:jc w:val="center"/>
      </w:pPr>
      <w:r>
        <w:rPr>
          <w:rFonts w:ascii="Times New Roman" w:hAnsi="Times New Roman"/>
          <w:b/>
          <w:sz w:val="24"/>
        </w:rPr>
        <w:t>7. REFERENCIAS BIBLIOGRÁFICAS</w:t>
      </w:r>
    </w:p>
    <w:p>
      <w:pPr>
        <w:spacing w:line="240" w:lineRule="auto" w:after="120" w:before="0"/>
      </w:pPr>
      <w:r>
        <w:rPr>
          <w:rFonts w:ascii="Times New Roman" w:hAnsi="Times New Roman"/>
          <w:sz w:val="24"/>
        </w:rPr>
        <w:t xml:space="preserve">Anthropic. (2024). </w:t>
      </w:r>
      <w:r>
        <w:rPr>
          <w:rFonts w:ascii="Times New Roman" w:hAnsi="Times New Roman"/>
          <w:i/>
          <w:sz w:val="24"/>
        </w:rPr>
        <w:t>Model Context Protocol: An open standard for connecting AI models to data sources</w:t>
      </w:r>
      <w:r>
        <w:rPr>
          <w:rFonts w:ascii="Times New Roman" w:hAnsi="Times New Roman"/>
          <w:sz w:val="24"/>
        </w:rPr>
        <w:t>. Anthropic Engineering Blog. https://www.anthropic.com/news/model-context-protocol</w:t>
      </w:r>
    </w:p>
    <w:p>
      <w:pPr>
        <w:spacing w:line="240" w:lineRule="auto" w:after="120" w:before="0"/>
      </w:pPr>
      <w:r>
        <w:rPr>
          <w:rFonts w:ascii="Times New Roman" w:hAnsi="Times New Roman"/>
          <w:sz w:val="24"/>
        </w:rPr>
        <w:t xml:space="preserve">Becker, B. A., Denny, P., Finnie-Ansley, J., Luxton-Reilly, A., Prather, J., &amp; Santos, E. A. (2023). Programming is hard—or at least it used to be: Educational opportunities and challenges of AI code generation. En </w:t>
      </w:r>
      <w:r>
        <w:rPr>
          <w:rFonts w:ascii="Times New Roman" w:hAnsi="Times New Roman"/>
          <w:i/>
          <w:sz w:val="24"/>
        </w:rPr>
        <w:t>Proceedings of the 54th ACM Technical Symposium on Computer Science Education V. 1</w:t>
      </w:r>
      <w:r>
        <w:rPr>
          <w:rFonts w:ascii="Times New Roman" w:hAnsi="Times New Roman"/>
          <w:sz w:val="24"/>
        </w:rPr>
        <w:t xml:space="preserve"> (SIGCSE 2023) (pp. 500-506). Association for Computing Machinery. https://doi.org/10.1145/3545945.3569759</w:t>
      </w:r>
    </w:p>
    <w:p>
      <w:pPr>
        <w:spacing w:line="240" w:lineRule="auto" w:after="120" w:before="0"/>
      </w:pPr>
      <w:r>
        <w:rPr>
          <w:rFonts w:ascii="Times New Roman" w:hAnsi="Times New Roman"/>
          <w:sz w:val="24"/>
        </w:rPr>
        <w:t xml:space="preserve">Black, P., &amp; Wiliam, D. (1998). Assessment and classroom learning. </w:t>
      </w:r>
      <w:r>
        <w:rPr>
          <w:rFonts w:ascii="Times New Roman" w:hAnsi="Times New Roman"/>
          <w:i/>
          <w:sz w:val="24"/>
        </w:rPr>
        <w:t>Assessment in Education: Principles, Policy &amp; Practice, 5</w:t>
      </w:r>
      <w:r>
        <w:rPr>
          <w:rFonts w:ascii="Times New Roman" w:hAnsi="Times New Roman"/>
          <w:sz w:val="24"/>
        </w:rPr>
        <w:t>(1), 7-74. https://doi.org/10.1080/0969595980050102</w:t>
      </w:r>
    </w:p>
    <w:p>
      <w:pPr>
        <w:spacing w:line="240" w:lineRule="auto" w:after="120" w:before="0"/>
      </w:pPr>
      <w:r>
        <w:rPr>
          <w:rFonts w:ascii="Times New Roman" w:hAnsi="Times New Roman"/>
          <w:sz w:val="24"/>
        </w:rPr>
        <w:t xml:space="preserve">Denny, P., Prather, J., Becker, B. A., Finnie-Ansley, J., Blum, A., Luxton-Reilly, A., MacNeil, S., Petersen, A., Reeves, M., &amp; Santos, E. A. (2024). Computing education in the era of generative AI. </w:t>
      </w:r>
      <w:r>
        <w:rPr>
          <w:rFonts w:ascii="Times New Roman" w:hAnsi="Times New Roman"/>
          <w:i/>
          <w:sz w:val="24"/>
        </w:rPr>
        <w:t>Communications of the ACM, 67</w:t>
      </w:r>
      <w:r>
        <w:rPr>
          <w:rFonts w:ascii="Times New Roman" w:hAnsi="Times New Roman"/>
          <w:sz w:val="24"/>
        </w:rPr>
        <w:t>(2), 56-67. https://doi.org/10.1145/3624720</w:t>
      </w:r>
    </w:p>
    <w:p>
      <w:pPr>
        <w:spacing w:line="240" w:lineRule="auto" w:after="120" w:before="0"/>
      </w:pPr>
      <w:r>
        <w:rPr>
          <w:rFonts w:ascii="Times New Roman" w:hAnsi="Times New Roman"/>
          <w:sz w:val="24"/>
        </w:rPr>
        <w:t xml:space="preserve">Finnie-Ansley, J., Denny, P., Becker, B. A., Luxton-Reilly, A., &amp; Prather, J. (2022). The robots are coming: Exploring the implications of OpenAI Codex on introductory programming. En </w:t>
      </w:r>
      <w:r>
        <w:rPr>
          <w:rFonts w:ascii="Times New Roman" w:hAnsi="Times New Roman"/>
          <w:i/>
          <w:sz w:val="24"/>
        </w:rPr>
        <w:t>Proceedings of the 24th Australasian Computing Education Conference</w:t>
      </w:r>
      <w:r>
        <w:rPr>
          <w:rFonts w:ascii="Times New Roman" w:hAnsi="Times New Roman"/>
          <w:sz w:val="24"/>
        </w:rPr>
        <w:t xml:space="preserve"> (ACE '22) (pp. 10-19). Association for Computing Machinery. https://doi.org/10.1145/3511861.3511863</w:t>
      </w:r>
    </w:p>
    <w:p>
      <w:pPr>
        <w:spacing w:line="240" w:lineRule="auto" w:after="120" w:before="0"/>
      </w:pPr>
      <w:r>
        <w:rPr>
          <w:rFonts w:ascii="Times New Roman" w:hAnsi="Times New Roman"/>
          <w:sz w:val="24"/>
        </w:rPr>
        <w:t xml:space="preserve">Lau, S., &amp; Guo, P. J. (2023). From "ban it till we understand it" to "resistance is futile": How university programming instructors plan to adapt as more students use AI code generation and explanation tools such as ChatGPT and GitHub Copilot. En </w:t>
      </w:r>
      <w:r>
        <w:rPr>
          <w:rFonts w:ascii="Times New Roman" w:hAnsi="Times New Roman"/>
          <w:i/>
          <w:sz w:val="24"/>
        </w:rPr>
        <w:t>Proceedings of the 2023 ACM Conference on International Computing Education Research V. 1</w:t>
      </w:r>
      <w:r>
        <w:rPr>
          <w:rFonts w:ascii="Times New Roman" w:hAnsi="Times New Roman"/>
          <w:sz w:val="24"/>
        </w:rPr>
        <w:t xml:space="preserve"> (ICER '23) (pp. 106-121). Association for Computing Machinery. https://doi.org/10.1145/3568813.3600138</w:t>
      </w:r>
    </w:p>
    <w:p>
      <w:pPr>
        <w:spacing w:line="240" w:lineRule="auto" w:after="120" w:before="0"/>
      </w:pPr>
      <w:r>
        <w:rPr>
          <w:rFonts w:ascii="Times New Roman" w:hAnsi="Times New Roman"/>
          <w:sz w:val="24"/>
        </w:rPr>
        <w:t xml:space="preserve">OWASP. (2025). </w:t>
      </w:r>
      <w:r>
        <w:rPr>
          <w:rFonts w:ascii="Times New Roman" w:hAnsi="Times New Roman"/>
          <w:i/>
          <w:sz w:val="24"/>
        </w:rPr>
        <w:t>Model Context Protocol (MCP) Security Cheat Sheet</w:t>
      </w:r>
      <w:r>
        <w:rPr>
          <w:rFonts w:ascii="Times New Roman" w:hAnsi="Times New Roman"/>
          <w:sz w:val="24"/>
        </w:rPr>
        <w:t>. Open Web Application Security Project. https://cheatsheetseries.owasp.org/cheatsheets/MCP_Security_Cheat_Sheet.html</w:t>
      </w:r>
    </w:p>
    <w:p>
      <w:pPr>
        <w:spacing w:line="240" w:lineRule="auto" w:after="120" w:before="0"/>
      </w:pPr>
      <w:r>
        <w:rPr>
          <w:rFonts w:ascii="Times New Roman" w:hAnsi="Times New Roman"/>
          <w:sz w:val="24"/>
        </w:rPr>
        <w:t xml:space="preserve">Shute, V. J. (2008). Focus on formative feedback. </w:t>
      </w:r>
      <w:r>
        <w:rPr>
          <w:rFonts w:ascii="Times New Roman" w:hAnsi="Times New Roman"/>
          <w:i/>
          <w:sz w:val="24"/>
        </w:rPr>
        <w:t>Review of Educational Research, 78</w:t>
      </w:r>
      <w:r>
        <w:rPr>
          <w:rFonts w:ascii="Times New Roman" w:hAnsi="Times New Roman"/>
          <w:sz w:val="24"/>
        </w:rPr>
        <w:t>(1), 153-189. https://doi.org/10.3102/0034654307313795</w:t>
      </w:r>
    </w:p>
    <w:p>
      <w:pPr>
        <w:spacing w:line="240" w:lineRule="auto" w:after="120" w:before="0"/>
      </w:pPr>
      <w:r>
        <w:rPr>
          <w:rFonts w:ascii="Times New Roman" w:hAnsi="Times New Roman"/>
          <w:sz w:val="24"/>
        </w:rPr>
        <w:t xml:space="preserve">Wang, F., &amp; Hannafin, M. J. (2005). Design-based research and technology-enhanced learning environments. </w:t>
      </w:r>
      <w:r>
        <w:rPr>
          <w:rFonts w:ascii="Times New Roman" w:hAnsi="Times New Roman"/>
          <w:i/>
          <w:sz w:val="24"/>
        </w:rPr>
        <w:t>Educational Technology Research and Development, 53</w:t>
      </w:r>
      <w:r>
        <w:rPr>
          <w:rFonts w:ascii="Times New Roman" w:hAnsi="Times New Roman"/>
          <w:sz w:val="24"/>
        </w:rPr>
        <w:t>(4), 5-23. https://doi.org/10.1007/BF02504682</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Artículo Técnico - DIFUSIONES</dc:title>
  <dc:subject/>
  <dc:creator/>
  <cp:keywords/>
  <dc:description/>
  <cp:lastModifiedBy/>
  <cp:revision>1</cp:revision>
  <dcterms:created xsi:type="dcterms:W3CDTF">2013-12-23T23:15:00Z</dcterms:created>
  <dcterms:modified xsi:type="dcterms:W3CDTF">2013-12-23T23:15:00Z</dcterms:modified>
  <cp:category/>
</cp:coreProperties>
</file>