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b/>
          <w:color w:val="184C78"/>
          <w:sz w:val="32"/>
        </w:rPr>
        <w:t>Metadatos del Manuscrito para Carga en Plataforma OJS (Revista DIFUSIONES)</w:t>
      </w:r>
    </w:p>
    <w:p>
      <w:pPr>
        <w:spacing w:before="80" w:after="120"/>
        <w:ind w:left="454"/>
      </w:pPr>
      <w:r>
        <w:rPr>
          <w:rFonts w:ascii="Calibri" w:hAnsi="Calibri"/>
          <w:b/>
          <w:i/>
          <w:sz w:val="21"/>
        </w:rPr>
        <w:t>Nota:</w:t>
      </w:r>
      <w:r>
        <w:rPr>
          <w:rFonts w:ascii="Calibri" w:hAnsi="Calibri"/>
          <w:i/>
          <w:sz w:val="21"/>
        </w:rPr>
        <w:t xml:space="preserve"> Según las directrices de DIFUSIONES, estos datos </w:t>
      </w:r>
      <w:r>
        <w:rPr>
          <w:rFonts w:ascii="Calibri" w:hAnsi="Calibri"/>
          <w:b/>
          <w:i/>
          <w:sz w:val="21"/>
        </w:rPr>
        <w:t>NO</w:t>
      </w:r>
      <w:r>
        <w:rPr>
          <w:rFonts w:ascii="Calibri" w:hAnsi="Calibri"/>
          <w:i/>
          <w:sz w:val="21"/>
        </w:rPr>
        <w:t xml:space="preserve"> deben figurar en el documento Word (.docx) que se envía a evaluación inicial (para garantizar la revisión a doble ciego). Deben cargarse únicamente en los campos de metadatos del sistema OJS al momento del envío.</w:t>
      </w:r>
    </w:p>
    <w:p>
      <w:pPr>
        <w:spacing w:before="280" w:after="80"/>
      </w:pPr>
      <w:r>
        <w:rPr>
          <w:b/>
          <w:color w:val="1F6EA5"/>
          <w:sz w:val="26"/>
        </w:rPr>
        <w:t>SECCIÓN DE ENVÍO EN OJS</w:t>
      </w:r>
    </w:p>
    <w:p>
      <w:pPr>
        <w:spacing w:after="60"/>
        <w:ind w:left="283"/>
      </w:pPr>
      <w:r>
        <w:rPr>
          <w:b/>
        </w:rPr>
        <w:t xml:space="preserve">• </w:t>
      </w:r>
      <w:r>
        <w:rPr>
          <w:rFonts w:ascii="Calibri" w:hAnsi="Calibri"/>
          <w:b/>
          <w:sz w:val="22"/>
        </w:rPr>
        <w:t>Sección / Tipo de Contribución:</w:t>
      </w:r>
      <w:r>
        <w:rPr>
          <w:rFonts w:ascii="Calibri" w:hAnsi="Calibri"/>
          <w:sz w:val="22"/>
        </w:rPr>
        <w:t xml:space="preserve"> </w:t>
      </w:r>
      <w:r>
        <w:rPr>
          <w:rFonts w:ascii="Calibri" w:hAnsi="Calibri"/>
          <w:b/>
          <w:sz w:val="22"/>
        </w:rPr>
        <w:t>Artículos Técnicos</w:t>
      </w:r>
      <w:r>
        <w:rPr>
          <w:rFonts w:ascii="Calibri" w:hAnsi="Calibri"/>
          <w:sz w:val="22"/>
        </w:rPr>
        <w:t xml:space="preserve"> (Extensión normativa: 10 a 15 páginas)</w:t>
      </w:r>
    </w:p>
    <w:p>
      <w:pPr>
        <w:spacing w:before="280" w:after="80"/>
      </w:pPr>
      <w:r>
        <w:rPr>
          <w:b/>
          <w:color w:val="1F6EA5"/>
          <w:sz w:val="26"/>
        </w:rPr>
        <w:t>TÍTULO Y RESUMEN</w:t>
      </w:r>
    </w:p>
    <w:p>
      <w:pPr>
        <w:spacing w:after="60"/>
        <w:ind w:left="283"/>
      </w:pPr>
      <w:r>
        <w:rPr>
          <w:b/>
        </w:rPr>
        <w:t xml:space="preserve">• </w:t>
      </w:r>
      <w:r>
        <w:rPr>
          <w:rFonts w:ascii="Calibri" w:hAnsi="Calibri"/>
          <w:b/>
          <w:sz w:val="22"/>
        </w:rPr>
        <w:t>Título en Español:</w:t>
      </w:r>
      <w:r>
        <w:rPr>
          <w:rFonts w:ascii="Calibri" w:hAnsi="Calibri"/>
          <w:sz w:val="22"/>
        </w:rPr>
        <w:t xml:space="preserve"> Integración de Agentes de Inteligencia Artificial y Protocolo MCP en la Evaluación Continua Universitaria: Arquitectura Técnica, Gobernanza Contextual y Requisitos de Seguridad</w:t>
      </w:r>
    </w:p>
    <w:p>
      <w:pPr>
        <w:spacing w:after="60"/>
        <w:ind w:left="283"/>
      </w:pPr>
      <w:r>
        <w:rPr>
          <w:b/>
        </w:rPr>
        <w:t xml:space="preserve">• </w:t>
      </w:r>
      <w:r>
        <w:rPr>
          <w:rFonts w:ascii="Calibri" w:hAnsi="Calibri"/>
          <w:b/>
          <w:sz w:val="22"/>
        </w:rPr>
        <w:t>Título en Inglés:</w:t>
      </w:r>
      <w:r>
        <w:rPr>
          <w:rFonts w:ascii="Calibri" w:hAnsi="Calibri"/>
          <w:sz w:val="22"/>
        </w:rPr>
        <w:t xml:space="preserve"> Integration of Artificial Intelligence Agents and the Model Context Protocol in Continuous University Assessment: Technical Architecture, Contextual Governance, and Security Requirements</w:t>
      </w:r>
    </w:p>
    <w:p>
      <w:pPr>
        <w:spacing w:after="60"/>
        <w:ind w:left="283"/>
      </w:pPr>
      <w:r>
        <w:rPr>
          <w:b/>
        </w:rPr>
        <w:t xml:space="preserve">• </w:t>
      </w:r>
      <w:r>
        <w:rPr>
          <w:rFonts w:ascii="Calibri" w:hAnsi="Calibri"/>
          <w:b/>
          <w:sz w:val="22"/>
        </w:rPr>
        <w:t>Resumen (296 palabras):</w:t>
      </w:r>
    </w:p>
    <w:p>
      <w:pPr>
        <w:spacing w:before="80" w:after="120"/>
        <w:ind w:left="454"/>
      </w:pPr>
      <w:r>
        <w:rPr>
          <w:rFonts w:ascii="Calibri" w:hAnsi="Calibri"/>
          <w:i/>
          <w:sz w:val="21"/>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Calibri" w:hAnsi="Calibri"/>
          <w:i/>
          <w:sz w:val="21"/>
        </w:rPr>
        <w:t>Model Context Protocol</w:t>
      </w:r>
      <w:r>
        <w:rPr>
          <w:rFonts w:ascii="Calibri" w:hAnsi="Calibri"/>
          <w:i/>
          <w:sz w:val="21"/>
        </w:rPr>
        <w:t>, MCP) y en el principio de supervisión docente activa (</w:t>
      </w:r>
      <w:r>
        <w:rPr>
          <w:rFonts w:ascii="Calibri" w:hAnsi="Calibri"/>
          <w:i/>
          <w:sz w:val="21"/>
        </w:rPr>
        <w:t>Human-in-the-Loop</w:t>
      </w:r>
      <w:r>
        <w:rPr>
          <w:rFonts w:ascii="Calibri" w:hAnsi="Calibri"/>
          <w:i/>
          <w:sz w:val="21"/>
        </w:rPr>
        <w:t>, HITL) para asistir la evaluación formativa continua. La arquitectura se organiza en tres capas: gobernanza contextual mediante archivos de texto plano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after="60"/>
        <w:ind w:left="283"/>
      </w:pPr>
      <w:r>
        <w:rPr>
          <w:b/>
        </w:rPr>
        <w:t xml:space="preserve">• </w:t>
      </w:r>
      <w:r>
        <w:rPr>
          <w:rFonts w:ascii="Calibri" w:hAnsi="Calibri"/>
          <w:b/>
          <w:sz w:val="22"/>
        </w:rPr>
        <w:t>Palabras Clave:</w:t>
      </w:r>
      <w:r>
        <w:rPr>
          <w:rFonts w:ascii="Calibri" w:hAnsi="Calibri"/>
          <w:sz w:val="22"/>
        </w:rPr>
        <w:t xml:space="preserve"> Evaluación formativa, Agentes de inteligencia artificial, Protocolo de contexto de modelo (MCP), Formación docente, Educación en ciencias de la computación.</w:t>
      </w:r>
    </w:p>
    <w:p>
      <w:pPr>
        <w:spacing w:after="60"/>
        <w:ind w:left="283"/>
      </w:pPr>
      <w:r>
        <w:rPr>
          <w:b/>
        </w:rPr>
        <w:t xml:space="preserve">• </w:t>
      </w:r>
      <w:r>
        <w:rPr>
          <w:rFonts w:ascii="Calibri" w:hAnsi="Calibri"/>
          <w:b/>
          <w:sz w:val="22"/>
        </w:rPr>
        <w:t>Abstract (255 palabras):</w:t>
      </w:r>
    </w:p>
    <w:p>
      <w:pPr>
        <w:spacing w:before="80" w:after="120"/>
        <w:ind w:left="454"/>
      </w:pPr>
      <w:r>
        <w:rPr>
          <w:rFonts w:ascii="Calibri" w:hAnsi="Calibri"/>
          <w:i/>
          <w:sz w:val="21"/>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after="60"/>
        <w:ind w:left="283"/>
      </w:pPr>
      <w:r>
        <w:rPr>
          <w:b/>
        </w:rPr>
        <w:t xml:space="preserve">• </w:t>
      </w:r>
      <w:r>
        <w:rPr>
          <w:rFonts w:ascii="Calibri" w:hAnsi="Calibri"/>
          <w:b/>
          <w:sz w:val="22"/>
        </w:rPr>
        <w:t>Keywords:</w:t>
      </w:r>
      <w:r>
        <w:rPr>
          <w:rFonts w:ascii="Calibri" w:hAnsi="Calibri"/>
          <w:sz w:val="22"/>
        </w:rPr>
        <w:t xml:space="preserve"> Formative assessment, Artificial intelligence agents, Model Context Protocol (MCP), Teacher training, Computer science education.</w:t>
      </w:r>
    </w:p>
    <w:p>
      <w:pPr>
        <w:spacing w:before="280" w:after="80"/>
      </w:pPr>
      <w:r>
        <w:rPr>
          <w:b/>
          <w:color w:val="1F6EA5"/>
          <w:sz w:val="26"/>
        </w:rPr>
        <w:t>DATOS DE LOS AUTORES (Orden Oficial - Máximo 5 Autores)</w:t>
      </w:r>
    </w:p>
    <w:p>
      <w:pPr>
        <w:spacing w:before="80" w:after="120"/>
        <w:ind w:left="454"/>
      </w:pPr>
      <w:r>
        <w:rPr>
          <w:b/>
          <w:color w:val="B4321E"/>
        </w:rPr>
        <w:t xml:space="preserve">ATENCIÓN: </w:t>
      </w:r>
    </w:p>
    <w:p>
      <w:pPr>
        <w:spacing w:before="80" w:after="120"/>
        <w:ind w:left="454"/>
      </w:pPr>
      <w:r>
        <w:rPr>
          <w:rFonts w:ascii="Calibri" w:hAnsi="Calibri"/>
          <w:i/>
          <w:sz w:val="21"/>
        </w:rPr>
        <w:t>Correos institucionales y ORCID del autor de correspondencia ya cargados. Pendiente: ORCID de los cuatro coautores (recomendado por la revista, no obligatorio). Verificar que la forma del nombre coincida con la registrada en ORCID.</w:t>
      </w:r>
    </w:p>
    <w:p>
      <w:pPr>
        <w:spacing w:before="200" w:after="40"/>
      </w:pPr>
      <w:r>
        <w:rPr>
          <w:b/>
          <w:color w:val="141414"/>
          <w:sz w:val="23"/>
        </w:rPr>
        <w:t>1. Autor Principal y de Correspondencia</w:t>
      </w:r>
    </w:p>
    <w:p>
      <w:pPr>
        <w:spacing w:after="60"/>
        <w:ind w:left="283"/>
      </w:pPr>
      <w:r>
        <w:rPr>
          <w:b/>
        </w:rPr>
        <w:t xml:space="preserve">• </w:t>
      </w:r>
      <w:r>
        <w:rPr>
          <w:rFonts w:ascii="Calibri" w:hAnsi="Calibri"/>
          <w:b/>
          <w:sz w:val="22"/>
        </w:rPr>
        <w:t>Nombre y Apellido:</w:t>
      </w:r>
      <w:r>
        <w:rPr>
          <w:rFonts w:ascii="Calibri" w:hAnsi="Calibri"/>
          <w:sz w:val="22"/>
        </w:rPr>
        <w:t xml:space="preserve"> Fabio Damián Argañaraz Azua</w:t>
      </w:r>
    </w:p>
    <w:p>
      <w:pPr>
        <w:spacing w:after="60"/>
        <w:ind w:left="283"/>
      </w:pPr>
      <w:r>
        <w:rPr>
          <w:b/>
        </w:rPr>
        <w:t xml:space="preserve">• </w:t>
      </w:r>
      <w:r>
        <w:rPr>
          <w:rFonts w:ascii="Calibri" w:hAnsi="Calibri"/>
          <w:b/>
          <w:sz w:val="22"/>
        </w:rPr>
        <w:t>Correo Institucional:</w:t>
      </w:r>
      <w:r>
        <w:rPr>
          <w:rFonts w:ascii="Calibri" w:hAnsi="Calibri"/>
          <w:sz w:val="22"/>
        </w:rPr>
        <w:t xml:space="preserve"> fabiodamian.arganarazazua@ucse.edu.ar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https://orcid.org/0009-0004-7725-0152</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Ingeniero en Informática y docente universitario en la Universidad Católica de Santiago del Estero (UCSE - DASS), desempeñándose como profesor en asignaturas de programación y desarrollo de software. Es Director del proyecto de investigación "Agentes de IA y Protocolo MCP para evaluación continua y autoevaluación en materias de Ingeniería en Informática" (Convocatoria DASS UCSE 2025). Sus líneas de interés incluyen la inteligencia artificial aplicada a la educación, la arquitectura de software y la integración continua en entornos formativos.</w:t>
      </w:r>
    </w:p>
    <w:p>
      <w:pPr>
        <w:spacing w:before="200" w:after="40"/>
      </w:pPr>
      <w:r>
        <w:rPr>
          <w:b/>
          <w:color w:val="141414"/>
          <w:sz w:val="23"/>
        </w:rPr>
        <w:t>2. Coautora</w:t>
      </w:r>
    </w:p>
    <w:p>
      <w:pPr>
        <w:spacing w:after="60"/>
        <w:ind w:left="283"/>
      </w:pPr>
      <w:r>
        <w:rPr>
          <w:b/>
        </w:rPr>
        <w:t xml:space="preserve">• </w:t>
      </w:r>
      <w:r>
        <w:rPr>
          <w:rFonts w:ascii="Calibri" w:hAnsi="Calibri"/>
          <w:b/>
          <w:sz w:val="22"/>
        </w:rPr>
        <w:t>Nombre y Apellido:</w:t>
      </w:r>
      <w:r>
        <w:rPr>
          <w:rFonts w:ascii="Calibri" w:hAnsi="Calibri"/>
          <w:sz w:val="22"/>
        </w:rPr>
        <w:t xml:space="preserve"> Gabriela Bejarano</w:t>
      </w:r>
    </w:p>
    <w:p>
      <w:pPr>
        <w:spacing w:after="60"/>
        <w:ind w:left="283"/>
      </w:pPr>
      <w:r>
        <w:rPr>
          <w:b/>
        </w:rPr>
        <w:t xml:space="preserve">• </w:t>
      </w:r>
      <w:r>
        <w:rPr>
          <w:rFonts w:ascii="Calibri" w:hAnsi="Calibri"/>
          <w:b/>
          <w:sz w:val="22"/>
        </w:rPr>
        <w:t>Correo Institucional:</w:t>
      </w:r>
      <w:r>
        <w:rPr>
          <w:rFonts w:ascii="Calibri" w:hAnsi="Calibri"/>
          <w:sz w:val="22"/>
        </w:rPr>
        <w:t xml:space="preserve"> gabriela.bejarano@ucse.edu.ar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 recomendado)</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Ingeniera y docente investigadora universitaria en el Departamento Académico San Salvador de la Universidad Católica de Santiago del Estero (UCSE). Se desempeña como Asesora Metodológica en proyectos de investigación científica y tecnológica orientados a la innovación pedagógica en ingeniería y ciencias de la computación.</w:t>
      </w:r>
    </w:p>
    <w:p>
      <w:pPr>
        <w:spacing w:before="200" w:after="40"/>
      </w:pPr>
      <w:r>
        <w:rPr>
          <w:b/>
          <w:color w:val="141414"/>
          <w:sz w:val="23"/>
        </w:rPr>
        <w:t>3. Coautora (Estudiante Investigadora)</w:t>
      </w:r>
    </w:p>
    <w:p>
      <w:pPr>
        <w:spacing w:after="60"/>
        <w:ind w:left="283"/>
      </w:pPr>
      <w:r>
        <w:rPr>
          <w:b/>
        </w:rPr>
        <w:t xml:space="preserve">• </w:t>
      </w:r>
      <w:r>
        <w:rPr>
          <w:rFonts w:ascii="Calibri" w:hAnsi="Calibri"/>
          <w:b/>
          <w:sz w:val="22"/>
        </w:rPr>
        <w:t>Nombre y Apellido:</w:t>
      </w:r>
      <w:r>
        <w:rPr>
          <w:rFonts w:ascii="Calibri" w:hAnsi="Calibri"/>
          <w:sz w:val="22"/>
        </w:rPr>
        <w:t xml:space="preserve"> Samara Zamar</w:t>
      </w:r>
    </w:p>
    <w:p>
      <w:pPr>
        <w:spacing w:after="60"/>
        <w:ind w:left="283"/>
      </w:pPr>
      <w:r>
        <w:rPr>
          <w:b/>
        </w:rPr>
        <w:t xml:space="preserve">• </w:t>
      </w:r>
      <w:r>
        <w:rPr>
          <w:rFonts w:ascii="Calibri" w:hAnsi="Calibri"/>
          <w:b/>
          <w:sz w:val="22"/>
        </w:rPr>
        <w:t>Correo Institucional:</w:t>
      </w:r>
      <w:r>
        <w:rPr>
          <w:rFonts w:ascii="Calibri" w:hAnsi="Calibri"/>
          <w:sz w:val="22"/>
        </w:rPr>
        <w:t xml:space="preserve"> samarazamar@alumnos.ucse.edu.ar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avanzada de la carrera de Ingeniería en Informática en la Universidad Católica de Santiago del Estero (UCSE - DASS). Becaria e investigadora en formación en el marco del proyecto DASS UCSE 2025, colaborando en el diseño y prueba de agentes de IA y entornos de evaluación continua.</w:t>
      </w:r>
    </w:p>
    <w:p>
      <w:pPr>
        <w:spacing w:before="200" w:after="40"/>
      </w:pPr>
      <w:r>
        <w:rPr>
          <w:b/>
          <w:color w:val="141414"/>
          <w:sz w:val="23"/>
        </w:rPr>
        <w:t>4.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Mariano Sumbaino</w:t>
      </w:r>
    </w:p>
    <w:p>
      <w:pPr>
        <w:spacing w:after="60"/>
        <w:ind w:left="283"/>
      </w:pPr>
      <w:r>
        <w:rPr>
          <w:b/>
        </w:rPr>
        <w:t xml:space="preserve">• </w:t>
      </w:r>
      <w:r>
        <w:rPr>
          <w:rFonts w:ascii="Calibri" w:hAnsi="Calibri"/>
          <w:b/>
          <w:sz w:val="22"/>
        </w:rPr>
        <w:t>Correo Institucional:</w:t>
      </w:r>
      <w:r>
        <w:rPr>
          <w:rFonts w:ascii="Calibri" w:hAnsi="Calibri"/>
          <w:sz w:val="22"/>
        </w:rPr>
        <w:t xml:space="preserve"> marianoalfredo.sumbaino@alumnos.ucse.edu.ar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enfocado en el desarrollo de arquitecturas basadas en el Protocolo MCP y automatización con GitHub Actions.</w:t>
      </w:r>
    </w:p>
    <w:p>
      <w:pPr>
        <w:spacing w:before="200" w:after="40"/>
      </w:pPr>
      <w:r>
        <w:rPr>
          <w:b/>
          <w:color w:val="141414"/>
          <w:sz w:val="23"/>
        </w:rPr>
        <w:t>5.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Gino Grosso</w:t>
      </w:r>
    </w:p>
    <w:p>
      <w:pPr>
        <w:spacing w:after="60"/>
        <w:ind w:left="283"/>
      </w:pPr>
      <w:r>
        <w:rPr>
          <w:b/>
        </w:rPr>
        <w:t xml:space="preserve">• </w:t>
      </w:r>
      <w:r>
        <w:rPr>
          <w:rFonts w:ascii="Calibri" w:hAnsi="Calibri"/>
          <w:b/>
          <w:sz w:val="22"/>
        </w:rPr>
        <w:t>Correo Institucional:</w:t>
      </w:r>
      <w:r>
        <w:rPr>
          <w:rFonts w:ascii="Calibri" w:hAnsi="Calibri"/>
          <w:sz w:val="22"/>
        </w:rPr>
        <w:t xml:space="preserve"> ginoangelogrosso@alumnos.ucse.edu.ar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participando en el desarrollo de simuladores interactivos web y análisis de telemetría educativa.</w:t>
      </w:r>
    </w:p>
    <w:p>
      <w:pPr>
        <w:spacing w:before="280" w:after="80"/>
      </w:pPr>
      <w:r>
        <w:rPr>
          <w:b/>
          <w:color w:val="1F6EA5"/>
          <w:sz w:val="26"/>
        </w:rPr>
        <w:t>DECLARACIÓN DE CONFLICTO DE INTERESES (Formato breve solicitado por la revista)</w:t>
      </w:r>
    </w:p>
    <w:p>
      <w:pPr>
        <w:spacing w:before="120" w:after="160"/>
        <w:ind w:left="454" w:right="454"/>
      </w:pPr>
      <w:r>
        <w:rPr>
          <w:rFonts w:ascii="Calibri" w:hAnsi="Calibri"/>
          <w:color w:val="282828"/>
          <w:sz w:val="20"/>
        </w:rPr>
        <w:t>Los autores declaran no tener conflictos de interés institucionales, profesionales, financieros ni personales en relación con este trabajo.</w:t>
      </w:r>
    </w:p>
    <w:p>
      <w:pPr>
        <w:spacing w:before="280" w:after="80"/>
      </w:pPr>
      <w:r>
        <w:rPr>
          <w:b/>
          <w:color w:val="1F6EA5"/>
          <w:sz w:val="26"/>
        </w:rPr>
        <w:t>INFORMACIÓN DE FINANCIAMIENTO INSTITUCIONAL (Para campos de metadatos OJS)</w:t>
      </w:r>
    </w:p>
    <w:p>
      <w:pPr>
        <w:spacing w:before="120" w:after="160"/>
        <w:ind w:left="454" w:right="454"/>
      </w:pPr>
      <w:r>
        <w:rPr>
          <w:rFonts w:ascii="Calibri" w:hAnsi="Calibri"/>
          <w:color w:val="282828"/>
          <w:sz w:val="20"/>
        </w:rPr>
        <w:t>Entidad Financiadora: Universidad Católica de Santiago del Estero (UCSE) – Departamento Académico San Salvador (DASS)</w:t>
        <w:br/>
        <w:br/>
        <w:t>Convocatoria / Programa: Convocatoria DASS-UCSE 2025 – Concurso de Proyectos de Iniciación a la Investigación (Disposición del Consejo del DASS N.º 441-2025)</w:t>
        <w:br/>
        <w:br/>
        <w:t>Resolución de adjudicación: Disposición N.º 691-2025 del Consejo del Departamento Académico San Salvador (22 de diciembre de 2025), Anexo 1, orden de mérito N.º 08</w:t>
        <w:br/>
        <w:br/>
        <w:t>Período de ejecución: 22 de diciembre de 2025 al 22 de diciembre de 2026</w:t>
        <w:br/>
        <w:br/>
        <w:t>Director del proyecto: Ing. Fabio Argañaraz Azua</w:t>
        <w:br/>
        <w:br/>
        <w:t>Proyecto: Agentes de IA y Protocolo MCP para evaluación continua y autoevaluación en materias de Ingeniería en Informática</w:t>
      </w:r>
    </w:p>
    <w:p>
      <w:pPr>
        <w:spacing w:before="280" w:after="80"/>
      </w:pPr>
      <w:r>
        <w:rPr>
          <w:b/>
          <w:color w:val="1F6EA5"/>
          <w:sz w:val="26"/>
        </w:rPr>
        <w:t>COMENTARIOS PARA EL EDITOR (Texto para copiar directamente en OJS)</w:t>
      </w:r>
    </w:p>
    <w:p>
      <w:pPr>
        <w:spacing w:before="120" w:after="160"/>
        <w:ind w:left="454" w:right="454"/>
      </w:pPr>
      <w:r>
        <w:rPr>
          <w:rFonts w:ascii="Calibri" w:hAnsi="Calibri"/>
          <w:color w:val="282828"/>
          <w:sz w:val="20"/>
        </w:rPr>
        <w:t>Estimado Comité Editorial de la Revista DIFUSIONES:</w:t>
        <w:br/>
        <w:br/>
        <w:t>Sometemos a su consideración el manuscrito en la categoría de Artículo Técnico titulado "Integración de Agentes de Inteligencia Artificial y Protocolo MCP en la Evaluación Continua Universitaria: Arquitectura Técnica, Gobernanza Contextual y Requisitos de Seguridad".</w:t>
        <w:br/>
        <w:br/>
        <w:t>Declaramos formalmente que:</w:t>
        <w:br/>
        <w:br/>
        <w:t>1. El trabajo es una contribución técnica original e inédita y no se encuentra postulado simultáneamente en otra publicación periódica.</w:t>
        <w:br/>
        <w:br/>
        <w:t>2. Los autores declaran no tener conflictos de interés institucionales, profesionales, financieros ni personales en relación con este trabajo.</w:t>
        <w:br/>
        <w:br/>
        <w:t>3. El manuscrito remitido ha sido anonimizado exhaustivamente (tanto en su cuerpo de texto como en las propiedades del archivo Word) para dar estricto cumplimiento a la evaluación a doble ciego.</w:t>
        <w:br/>
        <w:br/>
        <w:t>4. La fuente de financiamiento y apoyo institucional corresponde al proyecto acreditado en la Convocatoria DASS-UCSE 2025 adjudicado mediante Disposición N.º 691-2025 del Consejo del DASS (Anexo 1, Orden de Mérito N.º 08, con período de ejecución del 22 de diciembre de 2025 al 22 de diciembre de 2026), cuyos datos identificatorios han sido omitidos del manuscrito principal para preservar la evaluación a doble ciego y registrados en los campos de metadatos de esta plataforma para ser incorporados tras la aceptación.</w:t>
        <w:br/>
        <w:br/>
        <w:t>5. En relación con el alcance del trabajo y las consideraciones éticas, el manuscrito describe el diseño y la implementación de una arquitectura sociotécnica y sus instrumentos de transferencia. No presenta como resultados de investigación datos, métricas de progresión, verbalizaciones, notas de campo ni observaciones correspondientes a participantes humanos. La experiencia formativa se menciona exclusivamente como contexto de diseño de los recursos. Los estudios empíricos posteriores serán sometidos a evaluación ética previa y requerirán consentimiento informado, libre y previo.</w:t>
        <w:br/>
        <w:br/>
        <w:t>6. Se declara el uso de herramientas de inteligencia artificial (Antigravity IDE con modelos Claude 3.7 Sonnet y Gemini, y Microsoft Copilot) bajo el título "Declaración sobre uso de IA", exclusivamente para asistencia preliminar de organización, estilo, traducción del abstract y cotejo de directrices editoriales, sin haber sido utilizadas para la generación de datos empíricos ni referencias bibliográficas.</w:t>
        <w:br/>
        <w:br/>
        <w:t>7. Se adjunta de forma separada la Figura 1 en formato PNG de alta resolución (300 DPI reales, ancho 15.24 cm).</w:t>
        <w:br/>
        <w:br/>
        <w:t>Agradecemos su atención y quedamos a su entera disposición.</w:t>
      </w:r>
    </w:p>
    <w:p>
      <w:pPr>
        <w:spacing w:before="280" w:after="80"/>
      </w:pPr>
      <w:r>
        <w:rPr>
          <w:b/>
          <w:color w:val="1F6EA5"/>
          <w:sz w:val="26"/>
        </w:rPr>
        <w:t>LISTA DE CONTROL PREVIA AL ENVÍO EN OJS (CHECKLIST)</w:t>
      </w:r>
    </w:p>
    <w:p>
      <w:pPr>
        <w:spacing w:after="60"/>
        <w:ind w:left="283"/>
      </w:pPr>
      <w:r>
        <w:rPr>
          <w:b/>
          <w:color w:val="228B22"/>
        </w:rPr>
        <w:t xml:space="preserve">☑ </w:t>
      </w:r>
      <w:r>
        <w:rPr>
          <w:rFonts w:ascii="Calibri" w:hAnsi="Calibri"/>
          <w:b/>
          <w:sz w:val="22"/>
        </w:rPr>
        <w:t>Sección en OJS:</w:t>
      </w:r>
      <w:r>
        <w:rPr>
          <w:rFonts w:ascii="Calibri" w:hAnsi="Calibri"/>
          <w:sz w:val="22"/>
        </w:rPr>
        <w:t xml:space="preserve"> Artículos Técnicos (cumple con la pauta de 10 a 15 páginas).</w:t>
      </w:r>
    </w:p>
    <w:p>
      <w:pPr>
        <w:spacing w:after="60"/>
        <w:ind w:left="283"/>
      </w:pPr>
      <w:r>
        <w:rPr>
          <w:b/>
          <w:color w:val="228B22"/>
        </w:rPr>
        <w:t xml:space="preserve">☑ </w:t>
      </w:r>
      <w:r>
        <w:rPr>
          <w:rFonts w:ascii="Calibri" w:hAnsi="Calibri"/>
          <w:b/>
          <w:sz w:val="22"/>
        </w:rPr>
        <w:t>Archivo principal (.docx):</w:t>
      </w:r>
      <w:r>
        <w:rPr>
          <w:rFonts w:ascii="Calibri" w:hAnsi="Calibri"/>
          <w:sz w:val="22"/>
        </w:rPr>
        <w:t xml:space="preserve"> Anonimizado mediante eliminación de nombres, afiliaciones y metadatos identificatorios directos; propiedades internas con título </w:t>
      </w:r>
      <w:r>
        <w:rPr>
          <w:rFonts w:ascii="Consolas" w:hAnsi="Consolas"/>
          <w:sz w:val="20"/>
        </w:rPr>
        <w:t>Artículo Técnico - DIFUSIONES</w:t>
      </w:r>
      <w:r>
        <w:rPr>
          <w:rFonts w:ascii="Calibri" w:hAnsi="Calibri"/>
          <w:sz w:val="22"/>
        </w:rPr>
        <w:t>, autor/comentarios vacíos, títulos y subtítulos en 12 pt Times New Roman.</w:t>
      </w:r>
    </w:p>
    <w:p>
      <w:pPr>
        <w:spacing w:after="60"/>
        <w:ind w:left="283"/>
      </w:pPr>
      <w:r>
        <w:rPr>
          <w:b/>
          <w:color w:val="228B22"/>
        </w:rPr>
        <w:t xml:space="preserve">☑ </w:t>
      </w:r>
      <w:r>
        <w:rPr>
          <w:rFonts w:ascii="Calibri" w:hAnsi="Calibri"/>
          <w:b/>
          <w:sz w:val="22"/>
        </w:rPr>
        <w:t>Resumen y Abstract:</w:t>
      </w:r>
      <w:r>
        <w:rPr>
          <w:rFonts w:ascii="Calibri" w:hAnsi="Calibri"/>
          <w:sz w:val="22"/>
        </w:rPr>
        <w:t xml:space="preserve"> Cumplen estrictamente con el rango reglamentario de 250 a 300 palabras (Resumen: 296 palabras; Abstract: 255 palabras).</w:t>
      </w:r>
    </w:p>
    <w:p>
      <w:pPr>
        <w:spacing w:after="60"/>
        <w:ind w:left="283"/>
      </w:pPr>
      <w:r>
        <w:rPr>
          <w:b/>
          <w:color w:val="228B22"/>
        </w:rPr>
        <w:t xml:space="preserve">☑ </w:t>
      </w:r>
      <w:r>
        <w:rPr>
          <w:rFonts w:ascii="Calibri" w:hAnsi="Calibri"/>
          <w:b/>
          <w:sz w:val="22"/>
        </w:rPr>
        <w:t>Tablas:</w:t>
      </w:r>
      <w:r>
        <w:rPr>
          <w:rFonts w:ascii="Calibri" w:hAnsi="Calibri"/>
          <w:sz w:val="22"/>
        </w:rPr>
        <w:t xml:space="preserve"> Formato nativo de Word según APA 7ª (sin líneas verticales, notas a 10 pt indicando elaboración propia y fuente), con fila 1 marcada estructuralmente como encabezado repetible (</w:t>
      </w:r>
      <w:r>
        <w:rPr>
          <w:rFonts w:ascii="Consolas" w:hAnsi="Consolas"/>
          <w:sz w:val="20"/>
        </w:rPr>
        <w:t>tblHeader</w:t>
      </w:r>
      <w:r>
        <w:rPr>
          <w:rFonts w:ascii="Calibri" w:hAnsi="Calibri"/>
          <w:sz w:val="22"/>
        </w:rPr>
        <w:t>) y prevención de corte (</w:t>
      </w:r>
      <w:r>
        <w:rPr>
          <w:rFonts w:ascii="Consolas" w:hAnsi="Consolas"/>
          <w:sz w:val="20"/>
        </w:rPr>
        <w:t>cantSplit</w:t>
      </w:r>
      <w:r>
        <w:rPr>
          <w:rFonts w:ascii="Calibri" w:hAnsi="Calibri"/>
          <w:sz w:val="22"/>
        </w:rPr>
        <w:t>).</w:t>
      </w:r>
    </w:p>
    <w:p>
      <w:pPr>
        <w:spacing w:after="60"/>
        <w:ind w:left="283"/>
      </w:pPr>
      <w:r>
        <w:rPr>
          <w:b/>
          <w:color w:val="228B22"/>
        </w:rPr>
        <w:t xml:space="preserve">☑ </w:t>
      </w:r>
      <w:r>
        <w:rPr>
          <w:rFonts w:ascii="Calibri" w:hAnsi="Calibri"/>
          <w:b/>
          <w:sz w:val="22"/>
        </w:rPr>
        <w:t>Figura 1 (.png):</w:t>
      </w:r>
      <w:r>
        <w:rPr>
          <w:rFonts w:ascii="Calibri" w:hAnsi="Calibri"/>
          <w:sz w:val="22"/>
        </w:rPr>
        <w:t xml:space="preserve"> 300 DPI reales (1800 × 1260 px, 15.24 cm de ancho) adjunta como archivo complementario independiente e incrustada en DOCX con texto alternativo descriptivo (</w:t>
      </w:r>
      <w:r>
        <w:rPr>
          <w:rFonts w:ascii="Calibri" w:hAnsi="Calibri"/>
          <w:i/>
          <w:sz w:val="22"/>
        </w:rPr>
        <w:t>Alt Text</w:t>
      </w:r>
      <w:r>
        <w:rPr>
          <w:rFonts w:ascii="Calibri" w:hAnsi="Calibri"/>
          <w:sz w:val="22"/>
        </w:rPr>
        <w:t>) para accesibilidad.</w:t>
      </w:r>
    </w:p>
    <w:p>
      <w:pPr>
        <w:spacing w:after="60"/>
        <w:ind w:left="283"/>
      </w:pPr>
      <w:r>
        <w:rPr>
          <w:b/>
          <w:color w:val="228B22"/>
        </w:rPr>
        <w:t xml:space="preserve">☑ </w:t>
      </w:r>
      <w:r>
        <w:rPr>
          <w:rFonts w:ascii="Calibri" w:hAnsi="Calibri"/>
          <w:b/>
          <w:sz w:val="22"/>
        </w:rPr>
        <w:t>Metadatos OJS:</w:t>
      </w:r>
      <w:r>
        <w:rPr>
          <w:rFonts w:ascii="Calibri" w:hAnsi="Calibri"/>
          <w:sz w:val="22"/>
        </w:rPr>
        <w:t xml:space="preserve"> 5 autores cargados en el orden oficial con afiliación institucional y biografías breves (&lt;150 palabras).</w:t>
      </w:r>
    </w:p>
    <w:p>
      <w:pPr>
        <w:spacing w:after="60"/>
        <w:ind w:left="283"/>
      </w:pPr>
      <w:r>
        <w:rPr>
          <w:b/>
          <w:color w:val="228B22"/>
        </w:rPr>
        <w:t xml:space="preserve">☑ </w:t>
      </w:r>
      <w:r>
        <w:rPr>
          <w:rFonts w:ascii="Calibri" w:hAnsi="Calibri"/>
          <w:b/>
          <w:sz w:val="22"/>
        </w:rPr>
        <w:t>Declaración sobre uso de IA:</w:t>
      </w:r>
      <w:r>
        <w:rPr>
          <w:rFonts w:ascii="Calibri" w:hAnsi="Calibri"/>
          <w:sz w:val="22"/>
        </w:rPr>
        <w:t xml:space="preserve"> Incorporada en el manuscrito bajo la denominación editorial exacta "Declaración sobre uso de IA", identificando herramientas (Antigravity IDE, Claude, Gemini, Copilot) y propósitos, con salvaguarda explícita de no generación de datos ni referencias y asunción plena de autoría humana.</w:t>
      </w:r>
    </w:p>
    <w:p>
      <w:pPr>
        <w:spacing w:after="60"/>
        <w:ind w:left="283"/>
      </w:pPr>
      <w:r>
        <w:rPr>
          <w:b/>
          <w:color w:val="228B22"/>
        </w:rPr>
        <w:t xml:space="preserve">☑ </w:t>
      </w:r>
      <w:r>
        <w:rPr>
          <w:rFonts w:ascii="Calibri" w:hAnsi="Calibri"/>
          <w:b/>
          <w:sz w:val="22"/>
        </w:rPr>
        <w:t>Comentarios al editor:</w:t>
      </w:r>
      <w:r>
        <w:rPr>
          <w:rFonts w:ascii="Calibri" w:hAnsi="Calibri"/>
          <w:sz w:val="22"/>
        </w:rPr>
        <w:t xml:space="preserve"> Incluyen declaración explícita de originalidad, conflictos de interés, financiamiento institucional completo, alcance técnico sin datos de participantes, uso asistido de IA y archivos adjuntos.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