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4"/>
        </w:rPr>
        <w:t>INTEGRACIÓN DE AGENTES DE INTELIGENCIA ARTIFICIAL Y PROTOCOLO MCP EN LA EVALUACIÓN CONTINUA UNIVERSITARIA: ARQUITECTURA TÉCNICA, GOBERNANZA CONTEXTUAL Y REQUISITOS DE SEGURIDAD</w:t>
      </w:r>
    </w:p>
    <w:p>
      <w:pPr>
        <w:spacing w:before="280" w:after="160"/>
        <w:jc w:val="center"/>
      </w:pPr>
      <w:r>
        <w:rPr>
          <w:rFonts w:ascii="Times New Roman" w:hAnsi="Times New Roman"/>
          <w:b/>
          <w:sz w:val="24"/>
        </w:rPr>
        <w:t>INTEGRATION OF ARTIFICIAL INTELLIGENCE AGENTS AND THE MODEL CONTEXT PROTOCOL IN CONTINUOUS UNIVERSITY ASSESSMENT: TECHNICAL ARCHITECTURE, CONTEXTUAL GOVERNANCE, AND SECURITY REQUIREMENTS</w:t>
      </w:r>
    </w:p>
    <w:p>
      <w:pPr>
        <w:pStyle w:val="Heading2"/>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artículo técnico presenta el diseño y la implementación de una arquitectura sociotécnica basada en el Protocolo de Contexto de Modelo (</w:t>
      </w:r>
      <w:r>
        <w:rPr>
          <w:rFonts w:ascii="Times New Roman" w:hAnsi="Times New Roman"/>
          <w:i/>
          <w:sz w:val="24"/>
        </w:rPr>
        <w:t>Model Context Protocol</w:t>
      </w:r>
      <w:r>
        <w:rPr>
          <w:rFonts w:ascii="Times New Roman" w:hAnsi="Times New Roman"/>
          <w:sz w:val="24"/>
        </w:rPr>
        <w:t>, MCP) y en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La arquitectura se organiza en tres capas: gobernanza contextual mediante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interoperabilidad protocolizada con un servidor MCP de sistema de archivos restringido a rutas permitidas y privilegios mínimos, y supervisión docente de los borradores de prediagnóstico generados por el agente. Se describen, además, los instrumentos de transferencia desarrollados: un repositorio plantilla con evaluador automático en Python y flujo de integración continua en GitHub Actions sobre una escala de 100 puntos, y una colección de 35 aplicaciones web interactivas autocontenidas. El trabajo adopta un enfoque de Investigación Basada en el Diseño (DBR) y documenta un pilotaje curricular en dos asignaturas de programación y el diseño de un taller de transferencia de diez horas reloj, sin presentar datos ni observaciones de participantes como resultados de investigación. Se discuten los requisitos de seguridad conforme a las recomendaciones de OWASP y las implicancias de diseño derivadas de la literatura sobre carga cognitiva y dificultades instrumentales con el control de versiones. Las principales limitaciones son la ausencia de evaluación empírica con participantes, de medición de la calidad pedagógica de las devoluciones y de concordancia con evaluadores humanos. Se concluye que la arquitectura ofrece una base técnica viable y auditable para encauzar la IA hacia una asistencia formativa supervisada, cuya eficacia pedagógica deberá evaluarse en estudios posteriores con las garantías éticas correspondientes.</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pStyle w:val="Heading2"/>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assessment practices in university programming education. This technical paper presents the design and implementation of a sociotechnical architecture based on the Model Context Protocol (MCP) and the active Human-in-the-Loop (HITL) principle to support continuous formative assessment. The architecture comprises three layers: contextual governance through plain-text files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skill specifications), protocolized interoperability through a file-system MCP server restricted to allowed paths and least privileges, and teacher supervision of the diagnostic drafts produced by the agent. The paper also describes the transfer instruments developed: a template repository with a Python autograder and a GitHub Actions continuous integration workflow on a 100-point scale, and a collection of 35 self-contained interactive web applications. Following a Design-Based Research (DBR) approach, it documents a curricular pilot in two programming courses and the design of a ten-hour transfer workshop, without presenting data or observations from participants as research results. Security requirements are discussed in line with OWASP recommendations, together with design implications drawn from the literature on cognitive load and the instrumental difficulties of version control systems. The main limitations are the absence of empirical evaluation with participants, of measures of the pedagogical quality of the feedback, and of agreement with human raters, so no claims are made about learning outcomes or adoption. We conclude that the architecture offers a viable and auditable technical basis for steering AI toward supervised formative assistance, whose pedagogical effectiveness must be assessed in subsequent studies with appropriate ethical safeguards.</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pStyle w:val="Heading1"/>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artículo técnico tiene como objetivo general: </w:t>
      </w:r>
      <w:r>
        <w:rPr>
          <w:rFonts w:ascii="Times New Roman" w:hAnsi="Times New Roman"/>
          <w:b/>
          <w:sz w:val="24"/>
        </w:rPr>
        <w:t>diseñar e implementar una arquitectura sociotécnica basada en MCP y supervisión docente activa para asistir la evaluación formativa continua en asignaturas universitarias de programación, así como describir sus instrumentos de transferencia y sus requisitos de seguridad y gobernanza</w:t>
      </w:r>
      <w:r>
        <w:rPr>
          <w:rFonts w:ascii="Times New Roman" w:hAnsi="Times New Roman"/>
          <w:sz w:val="24"/>
        </w:rPr>
        <w:t>.</w:t>
      </w:r>
    </w:p>
    <w:p>
      <w:pPr>
        <w:spacing w:line="240" w:lineRule="auto" w:after="120" w:before="0"/>
      </w:pPr>
      <w:r>
        <w:rPr>
          <w:rFonts w:ascii="Times New Roman" w:hAnsi="Times New Roman"/>
          <w:sz w:val="24"/>
        </w:rPr>
        <w:t>Para orientar el trabajo, se definieron tres preguntas:</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requisitos de seguridad y gobernanza debe satisfacer la configuración MCP para operar de manera auditable en entornos locales de evaluación?</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recursos y rutas de transferencia se diseñaron para facilitar la apropiación de la arquitectura por parte de docentes y qué consideraciones de diseño derivan de la literatura?</w:t>
      </w:r>
    </w:p>
    <w:p>
      <w:pPr>
        <w:pStyle w:val="Heading1"/>
        <w:spacing w:before="280" w:after="120"/>
        <w:jc w:val="center"/>
      </w:pPr>
      <w:r>
        <w:rPr>
          <w:rFonts w:ascii="Times New Roman" w:hAnsi="Times New Roman"/>
          <w:b/>
          <w:sz w:val="24"/>
        </w:rPr>
        <w:t>2. MÉTODOS</w:t>
      </w:r>
    </w:p>
    <w:p>
      <w:pPr>
        <w:pStyle w:val="Heading2"/>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trabajo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orientado al diseño de artefactos.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line="240" w:lineRule="auto" w:after="120" w:before="0"/>
      </w:pPr>
      <w:r>
        <w:rPr>
          <w:rFonts w:ascii="Times New Roman" w:hAnsi="Times New Roman"/>
          <w:sz w:val="24"/>
        </w:rPr>
        <w:t xml:space="preserve">La lógica iterativa propia de la DBR se materializó en el refinamiento progresivo de los artefactos entre las fases: las dificultades identificadas durante el pilotaje curricular permitieron ajustar las restricciones de </w:t>
      </w:r>
      <w:r>
        <w:rPr>
          <w:rFonts w:ascii="Consolas" w:hAnsi="Consolas"/>
          <w:sz w:val="21"/>
        </w:rPr>
        <w:t>AGENTS.md</w:t>
      </w:r>
      <w:r>
        <w:rPr>
          <w:rFonts w:ascii="Times New Roman" w:hAnsi="Times New Roman"/>
          <w:sz w:val="24"/>
        </w:rPr>
        <w:t>, reorganizar las rúbricas y simplificar las plantillas del repositorio de transferencia.</w:t>
      </w:r>
    </w:p>
    <w:p>
      <w:pPr>
        <w:spacing w:line="240" w:lineRule="auto" w:after="120" w:before="0"/>
      </w:pPr>
      <w:r>
        <w:rPr>
          <w:rFonts w:ascii="Times New Roman" w:hAnsi="Times New Roman"/>
          <w:sz w:val="24"/>
        </w:rPr>
        <w:t>El alcance del trabajo se circunscribe a la descripción de la arquitectura, de sus artefactos de gobernanza, de la configuración MCP, del repositorio con su flujo de integración continua y de los requisitos de seguridad. No se evaluaron la calidad pedagógica de las devoluciones generadas, su concordancia con evaluadores humanos, la mejora del aprendizaje ni el ahorro efectivo de tiempo docente, y no se presentan datos ni observaciones de participantes humanos como resultados de investigación.</w:t>
      </w:r>
    </w:p>
    <w:p>
      <w:pPr>
        <w:pStyle w:val="Heading2"/>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de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de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(entendido como un análisis técnico preliminar de una entrega, sin valor evaluativo definitivo hasta su revisión docente)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Diseño de la experiencia de transferencia (octubre de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 Esta fase se describe como parte del diseño de los recursos de transferencia; no se informan datos ni observaciones de los asistentes como resultados.</w:t>
      </w:r>
    </w:p>
    <w:p>
      <w:pPr>
        <w:pStyle w:val="Heading2"/>
        <w:spacing w:before="200" w:after="80"/>
        <w:jc w:val="left"/>
      </w:pPr>
      <w:r>
        <w:rPr>
          <w:rFonts w:ascii="Times New Roman" w:hAnsi="Times New Roman"/>
          <w:b/>
          <w:sz w:val="24"/>
        </w:rPr>
        <w:t>2.3.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title="Figura 1. Arquitectura sociotécnica MCP y supervisión docente activa" descr="Diagrama de la arquitectura sociotécnica de evaluación continua asistida por agentes, organizada en tres capas: gobernanza contextual, interoperabilidad mediante MCP y supervisión docente."/>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se diseñó para requerir la restricción de la ejecución a rutas locales aisladas, la aplicación de privilegios mínimos y el establecimiento de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pStyle w:val="Heading2"/>
        <w:spacing w:before="200" w:after="80"/>
        <w:jc w:val="left"/>
      </w:pPr>
      <w:r>
        <w:rPr>
          <w:rFonts w:ascii="Times New Roman" w:hAnsi="Times New Roman"/>
          <w:b/>
          <w:sz w:val="24"/>
        </w:rPr>
        <w:t>2.4.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pStyle w:val="Heading2"/>
        <w:spacing w:before="200" w:after="80"/>
        <w:jc w:val="left"/>
      </w:pPr>
      <w:r>
        <w:rPr>
          <w:rFonts w:ascii="Times New Roman" w:hAnsi="Times New Roman"/>
          <w:b/>
          <w:sz w:val="24"/>
        </w:rPr>
        <w:t>2.5. Alcance de los datos y consideraciones éticas</w:t>
      </w:r>
    </w:p>
    <w:p>
      <w:pPr>
        <w:spacing w:line="240" w:lineRule="auto" w:after="120" w:before="0"/>
      </w:pPr>
      <w:r>
        <w:rPr>
          <w:rFonts w:ascii="Times New Roman" w:hAnsi="Times New Roman"/>
          <w:sz w:val="24"/>
        </w:rPr>
        <w:t>Este trabajo no recopila ni analiza datos de participantes humanos como objeto de estudio. La experiencia de transferencia se describe únicamente como contexto de diseño de los recursos formativos, sin informar frecuencias de progresión, observaciones de conducta, verbalizaciones ni notas de campo. Las observaciones del pilotaje curricular se refieren al comportamiento de la arquitectura y a la estructura de los borradores generados bajo supervisión docente, en el marco de la actividad ordinaria de enseñanza, y no incluyen información de estudiantes.</w:t>
      </w:r>
    </w:p>
    <w:p>
      <w:pPr>
        <w:pStyle w:val="Heading1"/>
        <w:spacing w:before="280" w:after="120"/>
        <w:jc w:val="center"/>
      </w:pPr>
      <w:r>
        <w:rPr>
          <w:rFonts w:ascii="Times New Roman" w:hAnsi="Times New Roman"/>
          <w:b/>
          <w:sz w:val="24"/>
        </w:rPr>
        <w:t>3. RESULTADOS TÉCNICOS</w:t>
      </w:r>
    </w:p>
    <w:p>
      <w:pPr>
        <w:pStyle w:val="Heading2"/>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Durante el pilotaje se observó que los prediagnósticos generados bajo habilidades estructuradas tendían a conservar una organización común compuesta por: (a) identificación de fortalezas observadas, (b) señalamiento de inconsistencias algorítmicas con cita textual de código y (c) formulación de preguntas orientadoras para la corrección autónoma. Esta observación procede del pilotaje exploratorio y debe leerse como evidencia descriptiva: no se acompañó de un recuento sistemático de entregas, prediagnósticos generados ni revisiones docentes.</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pStyle w:val="Heading2"/>
        <w:spacing w:before="200" w:after="80"/>
        <w:jc w:val="left"/>
      </w:pPr>
      <w:r>
        <w:rPr>
          <w:rFonts w:ascii="Times New Roman" w:hAnsi="Times New Roman"/>
          <w:b/>
          <w:sz w:val="24"/>
        </w:rPr>
        <w:t>3.2. Flujo de integración continua y evaluador automático (PI1)</w:t>
      </w:r>
    </w:p>
    <w:p>
      <w:pPr>
        <w:spacing w:line="240" w:lineRule="auto" w:after="120" w:before="0"/>
      </w:pPr>
      <w:r>
        <w:rPr>
          <w:rFonts w:ascii="Times New Roman" w:hAnsi="Times New Roman"/>
          <w:sz w:val="24"/>
        </w:rPr>
        <w:t>El repositorio plantilla incorpora un evaluador automático en Python (</w:t>
      </w:r>
      <w:r>
        <w:rPr>
          <w:rFonts w:ascii="Consolas" w:hAnsi="Consolas"/>
          <w:sz w:val="21"/>
        </w:rPr>
        <w:t>autograder_taller.py</w:t>
      </w:r>
      <w:r>
        <w:rPr>
          <w:rFonts w:ascii="Times New Roman" w:hAnsi="Times New Roman"/>
          <w:sz w:val="24"/>
        </w:rPr>
        <w:t xml:space="preserve">) y un flujo de trabajo de integración continua en GitHub Actions configurado sobre una escala de 100 puntos. La puntuación se distribuye en tres componentes: 60 puntos acumulados durante la primera jornada (configuración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cuestionario de fundamentos), 20 puntos por la rúbrica del trabajo práctico (</w:t>
      </w:r>
      <w:r>
        <w:rPr>
          <w:rFonts w:ascii="Consolas" w:hAnsi="Consolas"/>
          <w:sz w:val="21"/>
        </w:rPr>
        <w:t>rubrica.md</w:t>
      </w:r>
      <w:r>
        <w:rPr>
          <w:rFonts w:ascii="Times New Roman" w:hAnsi="Times New Roman"/>
          <w:sz w:val="24"/>
        </w:rPr>
        <w:t>) y 20 puntos por la habilidad formal de evaluación (</w:t>
      </w:r>
      <w:r>
        <w:rPr>
          <w:rFonts w:ascii="Consolas" w:hAnsi="Consolas"/>
          <w:sz w:val="21"/>
        </w:rPr>
        <w:t>skill_evaluador.md</w:t>
      </w:r>
      <w:r>
        <w:rPr>
          <w:rFonts w:ascii="Times New Roman" w:hAnsi="Times New Roman"/>
          <w:sz w:val="24"/>
        </w:rPr>
        <w:t>). Esta correspondencia entre los pasos del procedimiento y el puntaje permite verificar cada avance de manera automática y reproducible.</w:t>
      </w:r>
    </w:p>
    <w:p>
      <w:pPr>
        <w:pStyle w:val="Heading2"/>
        <w:spacing w:before="200" w:after="80"/>
        <w:jc w:val="left"/>
      </w:pPr>
      <w:r>
        <w:rPr>
          <w:rFonts w:ascii="Times New Roman" w:hAnsi="Times New Roman"/>
          <w:b/>
          <w:sz w:val="24"/>
        </w:rPr>
        <w:t>3.3. Requisitos de seguridad y gobernanza de la configuración MCP (PI2)</w:t>
      </w:r>
    </w:p>
    <w:p>
      <w:pPr>
        <w:spacing w:line="240" w:lineRule="auto" w:after="120" w:before="0"/>
      </w:pPr>
      <w:r>
        <w:rPr>
          <w:rFonts w:ascii="Times New Roman" w:hAnsi="Times New Roman"/>
          <w:sz w:val="24"/>
        </w:rPr>
        <w:t>En términos de seguridad informática, y conforme a las directrices de OWASP (2025), la configuración del servidor MCP de sistema de archivos se diseñó para requerir:</w:t>
      </w:r>
    </w:p>
    <w:p>
      <w:pPr>
        <w:spacing w:line="240" w:lineRule="auto" w:after="120" w:before="0"/>
      </w:pPr>
      <w:r>
        <w:rPr>
          <w:rFonts w:ascii="Times New Roman" w:hAnsi="Times New Roman"/>
          <w:sz w:val="24"/>
        </w:rPr>
        <w:t>- restringir la ejecución a rutas locales aisladas y establecer listas de directorios permitidos;</w:t>
      </w:r>
    </w:p>
    <w:p>
      <w:pPr>
        <w:spacing w:line="240" w:lineRule="auto" w:after="120" w:before="0"/>
      </w:pPr>
      <w:r>
        <w:rPr>
          <w:rFonts w:ascii="Times New Roman" w:hAnsi="Times New Roman"/>
          <w:sz w:val="24"/>
        </w:rPr>
        <w:t>- aplicar privilegios mínimos, limitando las herramientas del agente a listar directorios y leer archivos de código;</w:t>
      </w:r>
    </w:p>
    <w:p>
      <w:pPr>
        <w:spacing w:line="240" w:lineRule="auto" w:after="120" w:before="0"/>
      </w:pPr>
      <w:r>
        <w:rPr>
          <w:rFonts w:ascii="Times New Roman" w:hAnsi="Times New Roman"/>
          <w:sz w:val="24"/>
        </w:rPr>
        <w:t>- adoptar mecanismos de protección de credenciales para reducir el riesgo de exposición y de accesos no autorizados al sistema operativo;</w:t>
      </w:r>
    </w:p>
    <w:p>
      <w:pPr>
        <w:spacing w:line="240" w:lineRule="auto" w:after="120" w:before="0"/>
      </w:pPr>
      <w:r>
        <w:rPr>
          <w:rFonts w:ascii="Times New Roman" w:hAnsi="Times New Roman"/>
          <w:sz w:val="24"/>
        </w:rPr>
        <w:t>- exigir que cada observación del agente se asocie a evidencias verificables en el código, y que el docente verifique esas evidencias y apruebe la devolución definitiva.</w:t>
      </w:r>
    </w:p>
    <w:p>
      <w:pPr>
        <w:pStyle w:val="Heading2"/>
        <w:spacing w:before="200" w:after="80"/>
        <w:jc w:val="left"/>
      </w:pPr>
      <w:r>
        <w:rPr>
          <w:rFonts w:ascii="Times New Roman" w:hAnsi="Times New Roman"/>
          <w:b/>
          <w:sz w:val="24"/>
        </w:rPr>
        <w:t>3.4. Consideraciones de diseño para la transferencia (PI3)</w:t>
      </w:r>
    </w:p>
    <w:p>
      <w:pPr>
        <w:spacing w:line="240" w:lineRule="auto" w:after="120" w:before="0"/>
      </w:pPr>
      <w:r>
        <w:rPr>
          <w:rFonts w:ascii="Times New Roman" w:hAnsi="Times New Roman"/>
          <w:sz w:val="24"/>
        </w:rPr>
        <w:t>El diseño de la experiencia de transferencia incorporó dos canales de acceso: un flujo técnico completo (Git, consola y GitHub Actions) y recursos web desacoplados (</w:t>
      </w:r>
      <w:r>
        <w:rPr>
          <w:rFonts w:ascii="Consolas" w:hAnsi="Consolas"/>
          <w:sz w:val="21"/>
        </w:rPr>
        <w:t>index.html</w:t>
      </w:r>
      <w:r>
        <w:rPr>
          <w:rFonts w:ascii="Times New Roman" w:hAnsi="Times New Roman"/>
          <w:sz w:val="24"/>
        </w:rPr>
        <w:t xml:space="preserve"> y el banco de 35 aplicaciones interactivas) que no requieren consola. Esta duplicidad responde a una hipótesis de diseño sustentada en la literatura, y no en datos propios de adopción: la carga instrumental simultánea compite con el aprendizaje conceptual (Sweller, 1988; Kirschner et al., 2006) y Git presenta dificultades conceptuales para usuarios sin experiencia previa (Perez De Rosso &amp; Jackson, 2013). La evaluación empírica de esta hipótesis requerirá un estudio específico con las garantías éticas correspondientes.</w:t>
      </w:r>
    </w:p>
    <w:p>
      <w:pPr>
        <w:pStyle w:val="Heading1"/>
        <w:spacing w:before="280" w:after="120"/>
        <w:jc w:val="center"/>
      </w:pPr>
      <w:r>
        <w:rPr>
          <w:rFonts w:ascii="Times New Roman" w:hAnsi="Times New Roman"/>
          <w:b/>
          <w:sz w:val="24"/>
        </w:rPr>
        <w:t>4. DISCUSIÓN</w:t>
      </w:r>
    </w:p>
    <w:p>
      <w:pPr>
        <w:pStyle w:val="Heading2"/>
        <w:spacing w:before="200" w:after="80"/>
        <w:jc w:val="left"/>
      </w:pPr>
      <w:r>
        <w:rPr>
          <w:rFonts w:ascii="Times New Roman" w:hAnsi="Times New Roman"/>
          <w:b/>
          <w:sz w:val="24"/>
        </w:rPr>
        <w:t>4.1.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 xml:space="preserve">La exigencia protocolizada de vincular cada dictamen a evidencias localizables en el código facilitó la detección docente de afirmaciones erróneas y estableció condiciones operativas orientadas a reducir el riesgo de aceptar evaluaciones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 Esta cautela es consistente con las revisiones sobre rúbricas analíticas, que asocian criterios explícitos y descriptores de desempeño con una mayor consistencia de las puntuaciones sin que ello garantice por sí solo la validez de la evaluación (Jonsson &amp; Svingby, 2007); en este trabajo, la formalización de criterios en </w:t>
      </w:r>
      <w:r>
        <w:rPr>
          <w:rFonts w:ascii="Consolas" w:hAnsi="Consolas"/>
          <w:sz w:val="21"/>
        </w:rPr>
        <w:t>rubrica.md</w:t>
      </w:r>
      <w:r>
        <w:rPr>
          <w:rFonts w:ascii="Times New Roman" w:hAnsi="Times New Roman"/>
          <w:sz w:val="24"/>
        </w:rPr>
        <w:t xml:space="preserve"> constituye una condición plausible, pero no demostrada, de la consistencia aparente observada.</w:t>
      </w:r>
    </w:p>
    <w:p>
      <w:pPr>
        <w:pStyle w:val="Heading2"/>
        <w:spacing w:before="200" w:after="80"/>
        <w:jc w:val="left"/>
      </w:pPr>
      <w:r>
        <w:rPr>
          <w:rFonts w:ascii="Times New Roman" w:hAnsi="Times New Roman"/>
          <w:b/>
          <w:sz w:val="24"/>
        </w:rPr>
        <w:t>4.2.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 Este rol de supervisión coincide con la evidencia de que la eficacia de la retroalimentación depende de su especificidad, su vínculo con la tarea y su orientación hacia la acción (Hattie &amp; Timperley, 2007), atributos que la revisión docente permite verificar antes de comunicarla, y con las advertencias sobre inexactitudes y variabilidad de los modelos generativos en la educación en computación (Denny et al., 2024; Lau &amp; Guo, 2023).</w:t>
      </w:r>
    </w:p>
    <w:p>
      <w:pPr>
        <w:spacing w:line="240" w:lineRule="auto" w:after="120" w:before="0"/>
      </w:pPr>
      <w:r>
        <w:rPr>
          <w:rFonts w:ascii="Times New Roman" w:hAnsi="Times New Roman"/>
          <w:sz w:val="24"/>
        </w:rPr>
        <w:t>Delegar la retroalimentación final directamente en un modelo generativo, sin intervención humana, puede debilitar la responsabilidad pedagógica e incrementar la exposición del estudiante a respuestas inexactas o sesgadas. La supervisión activa no representa un obstáculo burocrático, sino una salvaguarda central de la arquitectura propuesta para que la tecnología opere de manera ética y formativamente significativa.</w:t>
      </w:r>
    </w:p>
    <w:p>
      <w:pPr>
        <w:pStyle w:val="Heading2"/>
        <w:spacing w:before="200" w:after="80"/>
        <w:jc w:val="left"/>
      </w:pPr>
      <w:r>
        <w:rPr>
          <w:rFonts w:ascii="Times New Roman" w:hAnsi="Times New Roman"/>
          <w:b/>
          <w:sz w:val="24"/>
        </w:rPr>
        <w:t>4.3. Implicaciones de diseño para la adopción</w:t>
      </w:r>
    </w:p>
    <w:p>
      <w:pPr>
        <w:spacing w:line="240" w:lineRule="auto" w:after="120" w:before="0"/>
      </w:pPr>
      <w:r>
        <w:rPr>
          <w:rFonts w:ascii="Times New Roman" w:hAnsi="Times New Roman"/>
          <w:sz w:val="24"/>
        </w:rPr>
        <w:t>Para que arquitecturas basadas en MCP puedan ser adoptadas de forma amplia por docentes universitarios de diversas disciplinas, es razonable encapsular la complejidad de la consola mediante editores con interfaces gráficas amigables, extensiones integradas o plataformas de aprendizaje nativas que no requieran manipular directamente flujos de Git de bajo nivel. Esta recomendación se apoya en la teoría de la carga cognitiva (Sweller, 1988), en la evidencia sobre la menor eficacia de la guía mínima para quienes tienen poca experiencia previa (Kirschner et al., 2006) y en el análisis conceptual de las dificultades de Git (Perez De Rosso &amp; Jackson, 2013), y se formula como hipótesis de diseño a evaluar, no como hallazgo empírico.</w:t>
      </w:r>
    </w:p>
    <w:p>
      <w:pPr>
        <w:pStyle w:val="Heading2"/>
        <w:spacing w:before="200" w:after="80"/>
        <w:jc w:val="left"/>
      </w:pPr>
      <w:r>
        <w:rPr>
          <w:rFonts w:ascii="Times New Roman" w:hAnsi="Times New Roman"/>
          <w:b/>
          <w:sz w:val="24"/>
        </w:rPr>
        <w:t>4.4. Limitaciones</w:t>
      </w:r>
    </w:p>
    <w:p>
      <w:pPr>
        <w:spacing w:line="240" w:lineRule="auto" w:after="120" w:before="0"/>
      </w:pPr>
      <w:r>
        <w:rPr>
          <w:rFonts w:ascii="Times New Roman" w:hAnsi="Times New Roman"/>
          <w:sz w:val="24"/>
        </w:rPr>
        <w:t xml:space="preserve">1. </w:t>
      </w:r>
      <w:r>
        <w:rPr>
          <w:rFonts w:ascii="Times New Roman" w:hAnsi="Times New Roman"/>
          <w:b/>
          <w:sz w:val="24"/>
        </w:rPr>
        <w:t>Ausencia de evaluación empírica con participantes:</w:t>
      </w:r>
      <w:r>
        <w:rPr>
          <w:rFonts w:ascii="Times New Roman" w:hAnsi="Times New Roman"/>
          <w:sz w:val="24"/>
        </w:rPr>
        <w:t xml:space="preserve"> No se presentan datos ni observaciones de participantes humanos como resultados, por lo que el trabajo no permite inferir adopción, aprendizaje ni satisfacción.</w:t>
      </w:r>
    </w:p>
    <w:p>
      <w:pPr>
        <w:spacing w:line="240" w:lineRule="auto" w:after="120" w:before="0"/>
      </w:pPr>
      <w:r>
        <w:rPr>
          <w:rFonts w:ascii="Times New Roman" w:hAnsi="Times New Roman"/>
          <w:sz w:val="24"/>
        </w:rPr>
        <w:t xml:space="preserve">2. </w:t>
      </w:r>
      <w:r>
        <w:rPr>
          <w:rFonts w:ascii="Times New Roman" w:hAnsi="Times New Roman"/>
          <w:b/>
          <w:sz w:val="24"/>
        </w:rPr>
        <w:t>Evidencia exploratoria del pilotaje curricular:</w:t>
      </w:r>
      <w:r>
        <w:rPr>
          <w:rFonts w:ascii="Times New Roman" w:hAnsi="Times New Roman"/>
          <w:sz w:val="24"/>
        </w:rPr>
        <w:t xml:space="preserve"> La observación sobre la estructura común de los prediagnósticos procede de un pilotaje descriptivo que no registró de manera sistemática la cantidad de entregas analizadas, de borradores generados, de docentes revisores, de afirmaciones erróneas detectadas ni la proporción de borradores aceptados o modificados; en consecuencia, no permite inferir calidad pedagógica, exactitud ni causalidad.</w:t>
      </w:r>
    </w:p>
    <w:p>
      <w:pPr>
        <w:spacing w:line="240" w:lineRule="auto" w:after="120" w:before="0"/>
      </w:pPr>
      <w:r>
        <w:rPr>
          <w:rFonts w:ascii="Times New Roman" w:hAnsi="Times New Roman"/>
          <w:sz w:val="24"/>
        </w:rPr>
        <w:t xml:space="preserve">3. </w:t>
      </w:r>
      <w:r>
        <w:rPr>
          <w:rFonts w:ascii="Times New Roman" w:hAnsi="Times New Roman"/>
          <w:b/>
          <w:sz w:val="24"/>
        </w:rPr>
        <w:t>Ausencia de medición de calidad y concordancia:</w:t>
      </w:r>
      <w:r>
        <w:rPr>
          <w:rFonts w:ascii="Times New Roman" w:hAnsi="Times New Roman"/>
          <w:sz w:val="24"/>
        </w:rPr>
        <w:t xml:space="preserve"> No se evaluó la exactitud de las devoluciones frente a evaluadores humanos ni la consistencia interjueces.</w:t>
      </w:r>
    </w:p>
    <w:p>
      <w:pPr>
        <w:spacing w:line="240" w:lineRule="auto" w:after="120" w:before="0"/>
      </w:pPr>
      <w:r>
        <w:rPr>
          <w:rFonts w:ascii="Times New Roman" w:hAnsi="Times New Roman"/>
          <w:sz w:val="24"/>
        </w:rPr>
        <w:t xml:space="preserve">4. </w:t>
      </w:r>
      <w:r>
        <w:rPr>
          <w:rFonts w:ascii="Times New Roman" w:hAnsi="Times New Roman"/>
          <w:b/>
          <w:sz w:val="24"/>
        </w:rPr>
        <w:t>Carácter preliminar de la percepción de ahorro de tiempo:</w:t>
      </w:r>
      <w:r>
        <w:rPr>
          <w:rFonts w:ascii="Times New Roman" w:hAnsi="Times New Roman"/>
          <w:sz w:val="24"/>
        </w:rPr>
        <w:t xml:space="preserve"> La percepción docente de menor trabajo rutinario no fue cuantificada mediante un protocolo temporal controlado.</w:t>
      </w:r>
    </w:p>
    <w:p>
      <w:pPr>
        <w:spacing w:line="240" w:lineRule="auto" w:after="120" w:before="0"/>
      </w:pPr>
      <w:r>
        <w:rPr>
          <w:rFonts w:ascii="Times New Roman" w:hAnsi="Times New Roman"/>
          <w:sz w:val="24"/>
        </w:rPr>
        <w:t xml:space="preserve">5. </w:t>
      </w:r>
      <w:r>
        <w:rPr>
          <w:rFonts w:ascii="Times New Roman" w:hAnsi="Times New Roman"/>
          <w:b/>
          <w:sz w:val="24"/>
        </w:rPr>
        <w:t>Doble rol del equipo:</w:t>
      </w:r>
      <w:r>
        <w:rPr>
          <w:rFonts w:ascii="Times New Roman" w:hAnsi="Times New Roman"/>
          <w:sz w:val="24"/>
        </w:rPr>
        <w:t xml:space="preserve"> Los autores fueron a la vez diseñadores de la arquitectura y docentes a cargo del pilotaje, lo que introduce un potencial sesgo.</w:t>
      </w:r>
    </w:p>
    <w:p>
      <w:pPr>
        <w:spacing w:line="240" w:lineRule="auto" w:after="120" w:before="0"/>
      </w:pPr>
      <w:r>
        <w:rPr>
          <w:rFonts w:ascii="Times New Roman" w:hAnsi="Times New Roman"/>
          <w:sz w:val="24"/>
        </w:rPr>
        <w:t xml:space="preserve">6. </w:t>
      </w:r>
      <w:r>
        <w:rPr>
          <w:rFonts w:ascii="Times New Roman" w:hAnsi="Times New Roman"/>
          <w:b/>
          <w:sz w:val="24"/>
        </w:rPr>
        <w:t>Contexto acotado:</w:t>
      </w:r>
      <w:r>
        <w:rPr>
          <w:rFonts w:ascii="Times New Roman" w:hAnsi="Times New Roman"/>
          <w:sz w:val="24"/>
        </w:rPr>
        <w:t xml:space="preserve"> El pilotaje se realizó en dos asignaturas de una misma institución, lo que restringe la generalización.</w:t>
      </w:r>
    </w:p>
    <w:p>
      <w:pPr>
        <w:pStyle w:val="Heading1"/>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y la implementación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humana.</w:t>
      </w:r>
    </w:p>
    <w:p>
      <w:pPr>
        <w:spacing w:line="240" w:lineRule="auto" w:after="120" w:before="0"/>
      </w:pPr>
      <w:r>
        <w:rPr>
          <w:rFonts w:ascii="Times New Roman" w:hAnsi="Times New Roman"/>
          <w:sz w:val="24"/>
        </w:rPr>
        <w:t xml:space="preserve">3. </w:t>
      </w:r>
      <w:r>
        <w:rPr>
          <w:rFonts w:ascii="Times New Roman" w:hAnsi="Times New Roman"/>
          <w:b/>
          <w:sz w:val="24"/>
        </w:rPr>
        <w:t>Consideraciones de diseño para la adopción:</w:t>
      </w:r>
      <w:r>
        <w:rPr>
          <w:rFonts w:ascii="Times New Roman" w:hAnsi="Times New Roman"/>
          <w:sz w:val="24"/>
        </w:rPr>
        <w:t xml:space="preserve"> La literatura sugiere que la fricción asociada con Git y la consola puede competir con el aprendizaje conceptual, lo que justifica ofrecer interfaces visuales y recursos desacoplados; esta hipótesis requiere evaluación empírica.</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Un estudio empírico de adopción por parte de docentes y estudiantes, con evaluación ética previa, consentimiento informado, libre y previo, y recolección de datos definida a priori.</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w:t>
      </w:r>
    </w:p>
    <w:p>
      <w:pPr>
        <w:spacing w:line="240" w:lineRule="auto" w:after="120" w:before="0"/>
      </w:pPr>
      <w:r>
        <w:rPr>
          <w:rFonts w:ascii="Times New Roman" w:hAnsi="Times New Roman"/>
          <w:sz w:val="24"/>
        </w:rPr>
        <w:t>- La profundización en estudios de concordancia interjueces para cuantificar la consistencia evaluativa alcanzada mediante especificaciones matriciales formales.</w:t>
      </w:r>
    </w:p>
    <w:p>
      <w:pPr>
        <w:pStyle w:val="Heading1"/>
        <w:spacing w:before="280" w:after="120"/>
        <w:jc w:val="center"/>
      </w:pPr>
      <w:r>
        <w:rPr>
          <w:rFonts w:ascii="Times New Roman" w:hAnsi="Times New Roman"/>
          <w:b/>
          <w:sz w:val="24"/>
        </w:rPr>
        <w:t>6. DECLARACIONES OBLIGATORIAS</w:t>
      </w:r>
    </w:p>
    <w:p>
      <w:pPr>
        <w:pStyle w:val="Heading2"/>
        <w:spacing w:before="200" w:after="80"/>
        <w:jc w:val="left"/>
      </w:pPr>
      <w:r>
        <w:rPr>
          <w:rFonts w:ascii="Times New Roman" w:hAnsi="Times New Roman"/>
          <w:b/>
          <w:sz w:val="24"/>
        </w:rPr>
        <w:t>Declaración de financiamiento y apoyo institucional</w:t>
      </w:r>
    </w:p>
    <w:p>
      <w:pPr>
        <w:spacing w:line="240" w:lineRule="auto" w:after="120" w:before="0"/>
      </w:pPr>
      <w:r>
        <w:rPr>
          <w:rFonts w:ascii="Times New Roman" w:hAnsi="Times New Roman"/>
          <w:sz w:val="24"/>
        </w:rPr>
        <w:t>La información identificatoria sobre la fuente institucional de apoyo, financiamiento y acreditación del proyecto se ha omitido temporalmente para preservar la evaluación a doble ciego y fue comunicada al Comité Editorial mediante la plataforma OJS. Se incorporará formalmente en la versión aceptada.</w:t>
      </w:r>
    </w:p>
    <w:p>
      <w:pPr>
        <w:pStyle w:val="Heading2"/>
        <w:spacing w:before="200" w:after="80"/>
        <w:jc w:val="left"/>
      </w:pPr>
      <w:r>
        <w:rPr>
          <w:rFonts w:ascii="Times New Roman" w:hAnsi="Times New Roman"/>
          <w:b/>
          <w:sz w:val="24"/>
        </w:rPr>
        <w:t>Declaración sobre uso de IA</w:t>
      </w:r>
    </w:p>
    <w:p>
      <w:pPr>
        <w:spacing w:line="240" w:lineRule="auto" w:after="120" w:before="0"/>
      </w:pPr>
      <w:r>
        <w:rPr>
          <w:rFonts w:ascii="Times New Roman" w:hAnsi="Times New Roman"/>
          <w:sz w:val="24"/>
        </w:rPr>
        <w:t>Durante la preparación de este trabajo, los autores utilizaron el entorno Antigravity IDE (operando con los modelos Claude 3.7 Sonnet y Gemini) y el asistente Microsoft Copilot para asistir en la organización preliminar del contenido, la revisión estilística y gramatical del manuscrito en español, la traducción y revisión del resumen al inglés, y el cotejo normativo de directrices editoriales. Las herramientas de inteligencia artificial no fueron utilizadas para generar datos empíricos, resultados observacionales ni referencias bibliográficas. Los autores revisaron y editaron críticamente el contenido asistido, verificaron la integridad de las citas y asumen plena responsabilidad por el contenido final de la publicación.</w:t>
      </w:r>
    </w:p>
    <w:p>
      <w:pPr>
        <w:pStyle w:val="Heading2"/>
        <w:spacing w:before="200" w:after="80"/>
        <w:jc w:val="left"/>
      </w:pPr>
      <w:r>
        <w:rPr>
          <w:rFonts w:ascii="Times New Roman" w:hAnsi="Times New Roman"/>
          <w:b/>
          <w:sz w:val="24"/>
        </w:rPr>
        <w:t>Consideraciones éticas</w:t>
      </w:r>
    </w:p>
    <w:p>
      <w:pPr>
        <w:spacing w:line="240" w:lineRule="auto" w:after="120" w:before="0"/>
      </w:pPr>
      <w:r>
        <w:rPr>
          <w:rFonts w:ascii="Times New Roman" w:hAnsi="Times New Roman"/>
          <w:sz w:val="24"/>
        </w:rPr>
        <w:t>Este trabajo no presenta datos ni observaciones de participantes humanos como resultados de investigación. La experiencia formativa de transferencia se describe como contexto de diseño de los recursos, sin informar métricas de progresión, notas de campo ni verbalizaciones. Cualquier estudio empírico futuro sobre la adopción de la arquitectura por parte de docentes y estudiantes se realizará con evaluación ética previa y consentimiento informado, libre y previo.</w:t>
      </w:r>
    </w:p>
    <w:p>
      <w:pPr>
        <w:pStyle w:val="Heading1"/>
        <w:spacing w:before="280" w:after="120"/>
        <w:jc w:val="center"/>
      </w:pPr>
      <w:r>
        <w:rPr>
          <w:rFonts w:ascii="Times New Roman" w:hAnsi="Times New Roman"/>
          <w:b/>
          <w:sz w:val="24"/>
        </w:rPr>
        <w:t>7.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Hattie, J., &amp; Timperley, H. (2007). The power of feedback. </w:t>
      </w:r>
      <w:r>
        <w:rPr>
          <w:rFonts w:ascii="Times New Roman" w:hAnsi="Times New Roman"/>
          <w:i/>
          <w:sz w:val="24"/>
        </w:rPr>
        <w:t>Review of Educational Research, 77</w:t>
      </w:r>
      <w:r>
        <w:rPr>
          <w:rFonts w:ascii="Times New Roman" w:hAnsi="Times New Roman"/>
          <w:sz w:val="24"/>
        </w:rPr>
        <w:t>(1), 81-112. https://doi.org/10.3102/003465430298487</w:t>
      </w:r>
    </w:p>
    <w:p>
      <w:pPr>
        <w:spacing w:line="240" w:lineRule="auto" w:after="120" w:before="0"/>
      </w:pPr>
      <w:r>
        <w:rPr>
          <w:rFonts w:ascii="Times New Roman" w:hAnsi="Times New Roman"/>
          <w:sz w:val="24"/>
        </w:rPr>
        <w:t xml:space="preserve">Jonsson, A., &amp; Svingby, G. (2007). The use of scoring rubrics: Reliability, validity and educational consequences. </w:t>
      </w:r>
      <w:r>
        <w:rPr>
          <w:rFonts w:ascii="Times New Roman" w:hAnsi="Times New Roman"/>
          <w:i/>
          <w:sz w:val="24"/>
        </w:rPr>
        <w:t>Educational Research Review, 2</w:t>
      </w:r>
      <w:r>
        <w:rPr>
          <w:rFonts w:ascii="Times New Roman" w:hAnsi="Times New Roman"/>
          <w:sz w:val="24"/>
        </w:rPr>
        <w:t>(2), 130-144. https://doi.org/10.1016/j.edurev.2007.05.002</w:t>
      </w:r>
    </w:p>
    <w:p>
      <w:pPr>
        <w:spacing w:line="240" w:lineRule="auto" w:after="120" w:before="0"/>
      </w:pPr>
      <w:r>
        <w:rPr>
          <w:rFonts w:ascii="Times New Roman" w:hAnsi="Times New Roman"/>
          <w:sz w:val="24"/>
        </w:rPr>
        <w:t xml:space="preserve">Kirschner, P. A., Sweller, J., &amp; Clark, R. E. (2006). Why minimal guidance during instruction does not work: An analysis of the failure of constructivist, discovery, problem-based, experiential, and inquiry-based teaching. </w:t>
      </w:r>
      <w:r>
        <w:rPr>
          <w:rFonts w:ascii="Times New Roman" w:hAnsi="Times New Roman"/>
          <w:i/>
          <w:sz w:val="24"/>
        </w:rPr>
        <w:t>Educational Psychologist, 41</w:t>
      </w:r>
      <w:r>
        <w:rPr>
          <w:rFonts w:ascii="Times New Roman" w:hAnsi="Times New Roman"/>
          <w:sz w:val="24"/>
        </w:rPr>
        <w:t>(2), 75-86. https://doi.org/10.1207/s15326985ep4102_1</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Perez De Rosso, S., &amp; Jackson, D. (2013). What's wrong with Git? A conceptual design analysis. En </w:t>
      </w:r>
      <w:r>
        <w:rPr>
          <w:rFonts w:ascii="Times New Roman" w:hAnsi="Times New Roman"/>
          <w:i/>
          <w:sz w:val="24"/>
        </w:rPr>
        <w:t>Proceedings of the 2013 ACM International Symposium on New Ideas, New Paradigms, and Reflections on Programming &amp; Software</w:t>
      </w:r>
      <w:r>
        <w:rPr>
          <w:rFonts w:ascii="Times New Roman" w:hAnsi="Times New Roman"/>
          <w:sz w:val="24"/>
        </w:rPr>
        <w:t xml:space="preserve"> (Onward! 2013) (pp. 37-52). Association for Computing Machinery. https://doi.org/10.1145/2509578.2509584</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Sweller, J. (1988). Cognitive load during problem solving: Effects on learning. </w:t>
      </w:r>
      <w:r>
        <w:rPr>
          <w:rFonts w:ascii="Times New Roman" w:hAnsi="Times New Roman"/>
          <w:i/>
          <w:sz w:val="24"/>
        </w:rPr>
        <w:t>Cognitive Science, 12</w:t>
      </w:r>
      <w:r>
        <w:rPr>
          <w:rFonts w:ascii="Times New Roman" w:hAnsi="Times New Roman"/>
          <w:sz w:val="24"/>
        </w:rPr>
        <w:t>(2), 257-285. https://doi.org/10.1207/s15516709cog1202_4</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4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Técnico - DIFUSIONES</dc:title>
  <dc:subject/>
  <dc:creator/>
  <cp:keywords/>
  <dc:description/>
  <cp:lastModifiedBy/>
  <cp:revision>1</cp:revision>
  <dcterms:created xsi:type="dcterms:W3CDTF">2013-12-23T23:15:00Z</dcterms:created>
  <dcterms:modified xsi:type="dcterms:W3CDTF">2013-12-23T23:15:00Z</dcterms:modified>
  <cp:category/>
</cp:coreProperties>
</file>