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6"/>
        </w:rPr>
        <w:t>INTEGRACIÓN DE AGENTES DE INTELIGENCIA ARTIFICIAL Y PROTOCOLO MCP EN LA EVALUACIÓN CONTINUA UNIVERSITARIA: ARQUITECTURA TÉCNICA Y EXPERIENCIA DE TRANSFERENCIA DOCENTE</w:t>
      </w:r>
    </w:p>
    <w:p>
      <w:pPr>
        <w:spacing w:before="280" w:after="160"/>
        <w:jc w:val="center"/>
      </w:pPr>
      <w:r>
        <w:rPr>
          <w:rFonts w:ascii="Times New Roman" w:hAnsi="Times New Roman"/>
          <w:b/>
          <w:sz w:val="26"/>
        </w:rPr>
        <w:t>INTEGRATION OF ARTIFICIAL INTELLIGENCE AGENTS AND MCP PROTOCOL IN UNIVERSITY CONTINUOUS ASSESSMENT: TECHNICAL ARCHITECTURE AND TEACHER TRANSFER EXPERIENCE</w:t>
      </w:r>
    </w:p>
    <w:p>
      <w:pPr>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trabajo tuvo como objetivo diseñar, implementar y evaluar preliminarmente una arquitectura sociotécnica basada en el Protocolo de Contexto de Modelo (</w:t>
      </w:r>
      <w:r>
        <w:rPr>
          <w:rFonts w:ascii="Times New Roman" w:hAnsi="Times New Roman"/>
          <w:i/>
          <w:sz w:val="24"/>
        </w:rPr>
        <w:t>Model Context Protocol</w:t>
      </w:r>
      <w:r>
        <w:rPr>
          <w:rFonts w:ascii="Times New Roman" w:hAnsi="Times New Roman"/>
          <w:sz w:val="24"/>
        </w:rPr>
        <w:t>, MCP) y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así como analizar las condiciones de transferibilidad de dicha propuesta en una experiencia de capacitación docente. Metodológicamente, se adoptó un enfoque de Investigación Basada en el Diseño (DBR) estructurado en tres fases secuenciales: diseño de artefactos de gobernanza contextual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especificaciones formales de habilidades docentes), pilotaje curricular en asignaturas universitarias de programación y desarrollo de un taller intensivo de transferencia de diez horas reloj. La muestra estuvo constituida por 70 participantes sobre 80 personas inscriptas (tasa de asistencia del 87,5 %), integrada por docentes universitarios de ingeniería en informática y estudiantes avanzados y graduados recientes de profesorado y licenciatura en informática educativa. La recolección de datos combinó telemetría del repositorio plantilla, registros de ejecución de integración continua en GitHub Actions y notas de campo estructuradas. Los resultados mostraron una participación mayoritaria en el cuestionario web desacoplado; no obstante, únicamente 1 de los 70 participantes completó de forma autónoma el flujo de integración continua durante el taller. Este hallazgo evidencia una pronunciada brecha de instrumentación técnica (</w:t>
      </w:r>
      <w:r>
        <w:rPr>
          <w:rFonts w:ascii="Times New Roman" w:hAnsi="Times New Roman"/>
          <w:i/>
          <w:sz w:val="24"/>
        </w:rPr>
        <w:t>tooling gap</w:t>
      </w:r>
      <w:r>
        <w:rPr>
          <w:rFonts w:ascii="Times New Roman" w:hAnsi="Times New Roman"/>
          <w:sz w:val="24"/>
        </w:rPr>
        <w:t>) vinculada a la fricción operativa del control de versiones por consola. La principal limitación radica en el carácter exploratorio del estudio y la ausencia de mediciones basales estandarizadas. Se concluye que la arquitectura proporciona bases operativas viables para encauzar la IA hacia una asistencia formativa supervisada, requiriendo interfaces visuales accesibles para su adopción generalizada.</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traditional assessment practices in university computer science and programming education. This empirical study aimed to design, implement, and preliminarily evaluate a sociotechnical architecture based on the Model Context Protocol (MCP) and the active Human-in-the-Loop (HITL) principle to assist continuous formative assessment, as well as to analyze the transferability conditions of this approach within a teacher professional development context. Methodologically, the research adopted a Design-Based Research (DBR) framework structured across three sequential phases: the design of plain-text contextual governance artifacts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analytical rubrics, and formal teaching skill specifications), curricular piloting in university programming courses, and the delivery of an intensive ten-hour teacher training workshop. The study sample comprised 70 attendees out of 80 registered individuals (an 87.5% attendance rate), consisting of computer engineering faculty along with advanced pre-service teachers and recent graduates from educational informatics degree programs. Data collection combined template repository telemetry metrics, continuous integration execution logs on GitHub Actions, and structured qualitative field observation notes. Findings showed majority participation in the decoupled web questionnaire; however, only 1 of the 70 participants autonomously completed the continuous integration pipeline during the workshop. This outcome highlights a pronounced technical tooling gap associated with the operational friction of command-line version control tools. The main limitation lies in the exploratory nature of the study and the absence of standardized baseline measurements. We conclude that the architecture establishes viable operational foundations to guide AI toward supervised formative assistance, though accessible visual interfaces are essential for widespread faculty adoption.</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estudio se planteó como objetivo general: </w:t>
      </w:r>
      <w:r>
        <w:rPr>
          <w:rFonts w:ascii="Times New Roman" w:hAnsi="Times New Roman"/>
          <w:b/>
          <w:sz w:val="24"/>
        </w:rPr>
        <w:t>diseñar, implementar y evaluar preliminarmente una arquitectura sociotécnica basada en MCP y supervisión docente activa para asistir la evaluación continua en asignaturas universitarias de programación, así como analizar las condiciones de transferibilidad de dicha propuesta en una experiencia de formación docente</w:t>
      </w:r>
      <w:r>
        <w:rPr>
          <w:rFonts w:ascii="Times New Roman" w:hAnsi="Times New Roman"/>
          <w:sz w:val="24"/>
        </w:rPr>
        <w:t>.</w:t>
      </w:r>
    </w:p>
    <w:p>
      <w:pPr>
        <w:spacing w:line="240" w:lineRule="auto" w:after="120" w:before="0"/>
      </w:pPr>
      <w:r>
        <w:rPr>
          <w:rFonts w:ascii="Times New Roman" w:hAnsi="Times New Roman"/>
          <w:sz w:val="24"/>
        </w:rPr>
        <w:t>Para orientar la investigación, se definieron tres preguntas de investigación:</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nivel de adopción instrumental y técnica alcanzan los participantes al interactuar con una plantilla basada en integración continua y agentes durante un taller de formación docente?</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barreras técnicas y pedagógicas emergen durante la interacción de los docentes con dicha infraestructura y qué andamiajes resultan pertinentes para mitigarlas?</w:t>
      </w:r>
    </w:p>
    <w:p>
      <w:pPr>
        <w:spacing w:before="280" w:after="120"/>
        <w:jc w:val="center"/>
      </w:pPr>
      <w:r>
        <w:rPr>
          <w:rFonts w:ascii="Times New Roman" w:hAnsi="Times New Roman"/>
          <w:b/>
          <w:sz w:val="24"/>
        </w:rPr>
        <w:t>2. MÉTODOS</w:t>
      </w:r>
    </w:p>
    <w:p>
      <w:pPr>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estudio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exploratorio.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line="240" w:lineRule="auto" w:after="120" w:before="0"/>
      </w:pPr>
      <w:r>
        <w:rPr>
          <w:rFonts w:ascii="Times New Roman" w:hAnsi="Times New Roman"/>
          <w:sz w:val="24"/>
        </w:rPr>
        <w:t xml:space="preserve">La lógica iterativa propia de la DBR se materializó en el refinamiento progresivo de los artefactos entre las fases. Las dificultades identificadas durante el pilotaje curricular permitieron ajustar las restricciones de </w:t>
      </w:r>
      <w:r>
        <w:rPr>
          <w:rFonts w:ascii="Consolas" w:hAnsi="Consolas"/>
          <w:sz w:val="21"/>
        </w:rPr>
        <w:t>AGENTS.md</w:t>
      </w:r>
      <w:r>
        <w:rPr>
          <w:rFonts w:ascii="Times New Roman" w:hAnsi="Times New Roman"/>
          <w:sz w:val="24"/>
        </w:rPr>
        <w:t>, reorganizar las rúbricas y simplificar las plantillas utilizadas posteriormente en el taller. La experiencia de transferencia constituyó, a su vez, una nueva instancia de evaluación del diseño, cuyos resultados fundamentan el desarrollo futuro de interfaces gráficas y rutas de adopción diferenciadas.</w:t>
      </w:r>
    </w:p>
    <w:p>
      <w:pPr>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de 2026):</w:t>
      </w:r>
      <w:r>
        <w:rPr>
          <w:rFonts w:ascii="Times New Roman" w:hAnsi="Times New Roman"/>
          <w:sz w:val="24"/>
        </w:rPr>
        <w:t xml:space="preserve"> Definición de la estructura de tres capas, formalización de directivas en archivos de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de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Transferencia formativa y estudio de adopción (octubre de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w:t>
      </w:r>
    </w:p>
    <w:p>
      <w:pPr>
        <w:spacing w:before="200" w:after="80"/>
        <w:jc w:val="left"/>
      </w:pPr>
      <w:r>
        <w:rPr>
          <w:rFonts w:ascii="Times New Roman" w:hAnsi="Times New Roman"/>
          <w:b/>
          <w:sz w:val="24"/>
        </w:rPr>
        <w:t>2.3. Participantes</w:t>
      </w:r>
    </w:p>
    <w:p>
      <w:pPr>
        <w:spacing w:line="240" w:lineRule="auto" w:after="120" w:before="0"/>
      </w:pPr>
      <w:r>
        <w:rPr>
          <w:rFonts w:ascii="Times New Roman" w:hAnsi="Times New Roman"/>
          <w:sz w:val="24"/>
        </w:rPr>
        <w:t>La convocatoria al taller de capacitación fue abierta, institucional y de carácter voluntario. Se registraron 80 personas inscriptas, de las cuales 70 asistieron activamente a las sesiones de trabajo, lo que representó una tasa de asistencia del 87,5 %.</w:t>
      </w:r>
    </w:p>
    <w:p>
      <w:pPr>
        <w:spacing w:line="240" w:lineRule="auto" w:after="120" w:before="0"/>
      </w:pPr>
      <w:r>
        <w:rPr>
          <w:rFonts w:ascii="Times New Roman" w:hAnsi="Times New Roman"/>
          <w:sz w:val="24"/>
        </w:rPr>
        <w:t>La muestra estuvo integrada por dos grupos diferenciados:</w:t>
      </w:r>
    </w:p>
    <w:p>
      <w:pPr>
        <w:spacing w:line="240" w:lineRule="auto" w:after="120" w:before="0"/>
      </w:pPr>
      <w:r>
        <w:rPr>
          <w:rFonts w:ascii="Times New Roman" w:hAnsi="Times New Roman"/>
          <w:sz w:val="24"/>
        </w:rPr>
        <w:t xml:space="preserve">- </w:t>
      </w:r>
      <w:r>
        <w:rPr>
          <w:rFonts w:ascii="Times New Roman" w:hAnsi="Times New Roman"/>
          <w:b/>
          <w:sz w:val="24"/>
        </w:rPr>
        <w:t>Grupo 1 (Docentes universitarios en ejercicio):</w:t>
      </w:r>
      <w:r>
        <w:rPr>
          <w:rFonts w:ascii="Times New Roman" w:hAnsi="Times New Roman"/>
          <w:sz w:val="24"/>
        </w:rPr>
        <w:t xml:space="preserve"> Profesores y auxiliares de cátedras del área de informática y computación pertenecientes a una universidad de gestión privada de la región (n = 28; 40,0 % de los asistentes).</w:t>
      </w:r>
    </w:p>
    <w:p>
      <w:pPr>
        <w:spacing w:line="240" w:lineRule="auto" w:after="120" w:before="0"/>
      </w:pPr>
      <w:r>
        <w:rPr>
          <w:rFonts w:ascii="Times New Roman" w:hAnsi="Times New Roman"/>
          <w:sz w:val="24"/>
        </w:rPr>
        <w:t xml:space="preserve">- </w:t>
      </w:r>
      <w:r>
        <w:rPr>
          <w:rFonts w:ascii="Times New Roman" w:hAnsi="Times New Roman"/>
          <w:b/>
          <w:sz w:val="24"/>
        </w:rPr>
        <w:t>Grupo 2 (Formadores en informática en etapa de graduación):</w:t>
      </w:r>
      <w:r>
        <w:rPr>
          <w:rFonts w:ascii="Times New Roman" w:hAnsi="Times New Roman"/>
          <w:sz w:val="24"/>
        </w:rPr>
        <w:t xml:space="preserve"> Estudiantes avanzados de los dos últimos años y graduados recientes de las carreras de Profesorado Universitario en Informática y Licenciatura en Informática Educativa pertenecientes a una universidad nacional pública de la misma región geográfica (n = 42; 60,0 % de los asistentes).</w:t>
      </w:r>
    </w:p>
    <w:p>
      <w:pPr>
        <w:spacing w:line="240" w:lineRule="auto" w:after="120" w:before="0"/>
      </w:pPr>
      <w:r>
        <w:rPr>
          <w:rFonts w:ascii="Times New Roman" w:hAnsi="Times New Roman"/>
          <w:sz w:val="24"/>
        </w:rPr>
        <w:t>No se aplicaron pruebas diagnósticas previas estandarizadas de dominio en herramientas de control de versiones (Git/CLI) o interfaces de agentes, registrándose durante las sesiones una marcada heterogeneidad en las competencias instrumentales de partida.</w:t>
      </w:r>
    </w:p>
    <w:p>
      <w:pPr>
        <w:spacing w:before="200" w:after="80"/>
        <w:jc w:val="left"/>
      </w:pPr>
      <w:r>
        <w:rPr>
          <w:rFonts w:ascii="Times New Roman" w:hAnsi="Times New Roman"/>
          <w:b/>
          <w:sz w:val="24"/>
        </w:rPr>
        <w:t>2.4.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Consolas" w:hAnsi="Consolas"/>
          <w:sz w:val="21"/>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Consolas" w:hAnsi="Consolas"/>
          <w:sz w:val="21"/>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Consolas" w:hAnsi="Consolas"/>
          <w:sz w:val="21"/>
        </w:rPr>
        <w:t>&lt;contexto&gt;</w:t>
      </w:r>
      <w:r>
        <w:rPr>
          <w:rFonts w:ascii="Times New Roman" w:hAnsi="Times New Roman"/>
          <w:sz w:val="24"/>
        </w:rPr>
        <w:t xml:space="preserve">, </w:t>
      </w:r>
      <w:r>
        <w:rPr>
          <w:rFonts w:ascii="Consolas" w:hAnsi="Consolas"/>
          <w:sz w:val="21"/>
        </w:rPr>
        <w:t>&lt;restricciones&gt;</w:t>
      </w:r>
      <w:r>
        <w:rPr>
          <w:rFonts w:ascii="Times New Roman" w:hAnsi="Times New Roman"/>
          <w:sz w:val="24"/>
        </w:rPr>
        <w:t xml:space="preserve">, </w:t>
      </w:r>
      <w:r>
        <w:rPr>
          <w:rFonts w:ascii="Consolas" w:hAnsi="Consolas"/>
          <w:sz w:val="21"/>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requirió restringir la ejecución a rutas locales aisladas, aplicar privilegios mínimos y establecer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Consolas" w:hAnsi="Consolas"/>
          <w:sz w:val="21"/>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spacing w:before="200" w:after="80"/>
        <w:jc w:val="left"/>
      </w:pPr>
      <w:r>
        <w:rPr>
          <w:rFonts w:ascii="Times New Roman" w:hAnsi="Times New Roman"/>
          <w:b/>
          <w:sz w:val="24"/>
        </w:rPr>
        <w:t>2.5.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Consolas" w:hAnsi="Consolas"/>
          <w:sz w:val="21"/>
        </w:rPr>
        <w:t>rubrica.md</w:t>
      </w:r>
      <w:r>
        <w:rPr>
          <w:rFonts w:ascii="Times New Roman" w:hAnsi="Times New Roman"/>
          <w:sz w:val="24"/>
        </w:rPr>
        <w:t>, 20 puntos) y de la habilidad formal de evaluación (</w:t>
      </w:r>
      <w:r>
        <w:rPr>
          <w:rFonts w:ascii="Consolas" w:hAnsi="Consolas"/>
          <w:sz w:val="21"/>
        </w:rPr>
        <w:t>skill_evaluador.md</w:t>
      </w:r>
      <w:r>
        <w:rPr>
          <w:rFonts w:ascii="Times New Roman" w:hAnsi="Times New Roman"/>
          <w:sz w:val="24"/>
        </w:rPr>
        <w:t>, 20 puntos) utilizando plantillas predefinidas del toolkit docente, finalizando con la verificación de la suite de pruebas local (</w:t>
      </w:r>
      <w:r>
        <w:rPr>
          <w:rFonts w:ascii="Consolas" w:hAnsi="Consolas"/>
          <w:sz w:val="21"/>
        </w:rPr>
        <w:t>python autograder_taller.py</w:t>
      </w:r>
      <w:r>
        <w:rPr>
          <w:rFonts w:ascii="Times New Roman" w:hAnsi="Times New Roman"/>
          <w:sz w:val="24"/>
        </w:rPr>
        <w:t>) y la sincronización con el repositorio remoto.</w:t>
      </w:r>
    </w:p>
    <w:p>
      <w:pPr>
        <w:spacing w:before="200" w:after="80"/>
        <w:jc w:val="left"/>
      </w:pPr>
      <w:r>
        <w:rPr>
          <w:rFonts w:ascii="Times New Roman" w:hAnsi="Times New Roman"/>
          <w:b/>
          <w:sz w:val="24"/>
        </w:rPr>
        <w:t>2.6. Fuentes y análisis de datos</w:t>
      </w:r>
    </w:p>
    <w:p>
      <w:pPr>
        <w:spacing w:line="240" w:lineRule="auto" w:after="120" w:before="0"/>
      </w:pPr>
      <w:r>
        <w:rPr>
          <w:rFonts w:ascii="Times New Roman" w:hAnsi="Times New Roman"/>
          <w:sz w:val="24"/>
        </w:rPr>
        <w:t>Para responder a las preguntas de investigación se triangularon tres fuentes de datos:</w:t>
      </w:r>
    </w:p>
    <w:p>
      <w:pPr>
        <w:spacing w:line="240" w:lineRule="auto" w:after="120" w:before="0"/>
      </w:pPr>
      <w:r>
        <w:rPr>
          <w:rFonts w:ascii="Times New Roman" w:hAnsi="Times New Roman"/>
          <w:sz w:val="24"/>
        </w:rPr>
        <w:t xml:space="preserve">1. </w:t>
      </w:r>
      <w:r>
        <w:rPr>
          <w:rFonts w:ascii="Times New Roman" w:hAnsi="Times New Roman"/>
          <w:b/>
          <w:sz w:val="24"/>
        </w:rPr>
        <w:t>Registros de integración continua y actividad en repositorios:</w:t>
      </w:r>
      <w:r>
        <w:rPr>
          <w:rFonts w:ascii="Times New Roman" w:hAnsi="Times New Roman"/>
          <w:sz w:val="24"/>
        </w:rPr>
        <w:t xml:space="preserve"> Seguimiento de ejecuciones en GitHub Actions y verificación en aula del acceso, clonación y confirmaciones de cambios (</w:t>
      </w:r>
      <w:r>
        <w:rPr>
          <w:rFonts w:ascii="Times New Roman" w:hAnsi="Times New Roman"/>
          <w:i/>
          <w:sz w:val="24"/>
        </w:rPr>
        <w:t>commits</w:t>
      </w:r>
      <w:r>
        <w:rPr>
          <w:rFonts w:ascii="Times New Roman" w:hAnsi="Times New Roman"/>
          <w:sz w:val="24"/>
        </w:rPr>
        <w:t>) generados durante las sesiones sincrónicas.</w:t>
      </w:r>
    </w:p>
    <w:p>
      <w:pPr>
        <w:spacing w:line="240" w:lineRule="auto" w:after="120" w:before="0"/>
      </w:pPr>
      <w:r>
        <w:rPr>
          <w:rFonts w:ascii="Times New Roman" w:hAnsi="Times New Roman"/>
          <w:sz w:val="24"/>
        </w:rPr>
        <w:t xml:space="preserve">2. </w:t>
      </w:r>
      <w:r>
        <w:rPr>
          <w:rFonts w:ascii="Times New Roman" w:hAnsi="Times New Roman"/>
          <w:b/>
          <w:sz w:val="24"/>
        </w:rPr>
        <w:t>Notas de campo estructuradas:</w:t>
      </w:r>
      <w:r>
        <w:rPr>
          <w:rFonts w:ascii="Times New Roman" w:hAnsi="Times New Roman"/>
          <w:sz w:val="24"/>
        </w:rPr>
        <w:t xml:space="preserve"> Registros sistemáticos tomados por el equipo capacitador durante el desarrollo del taller, focalizados en los momentos de bloqueo procedimental, consultas reiteradas y verbalizaciones de los asistentes.</w:t>
      </w:r>
    </w:p>
    <w:p>
      <w:pPr>
        <w:spacing w:line="240" w:lineRule="auto" w:after="120" w:before="0"/>
      </w:pPr>
      <w:r>
        <w:rPr>
          <w:rFonts w:ascii="Times New Roman" w:hAnsi="Times New Roman"/>
          <w:sz w:val="24"/>
        </w:rPr>
        <w:t xml:space="preserve">3. </w:t>
      </w:r>
      <w:r>
        <w:rPr>
          <w:rFonts w:ascii="Times New Roman" w:hAnsi="Times New Roman"/>
          <w:b/>
          <w:sz w:val="24"/>
        </w:rPr>
        <w:t>Registro de consultas e incidencias técnicas:</w:t>
      </w:r>
      <w:r>
        <w:rPr>
          <w:rFonts w:ascii="Times New Roman" w:hAnsi="Times New Roman"/>
          <w:sz w:val="24"/>
        </w:rPr>
        <w:t xml:space="preserve"> Documentación de dudas formuladas durante las instancias prácticas de laboratorio.</w:t>
      </w:r>
    </w:p>
    <w:p>
      <w:pPr>
        <w:spacing w:line="240" w:lineRule="auto" w:after="120" w:before="0"/>
      </w:pPr>
      <w:r>
        <w:rPr>
          <w:rFonts w:ascii="Times New Roman" w:hAnsi="Times New Roman"/>
          <w:sz w:val="24"/>
        </w:rPr>
        <w:t>Para el análisis cuantitativo, la unidad de análisis fue cada participante asistente al taller. Para el análisis cualitativo, la unidad de registro estuvo constituida por cada incidencia, consulta o episodio de bloqueo consignado en las notas de campo.</w:t>
      </w:r>
    </w:p>
    <w:p>
      <w:pPr>
        <w:spacing w:line="240" w:lineRule="auto" w:after="120" w:before="0"/>
      </w:pPr>
      <w:r>
        <w:rPr>
          <w:rFonts w:ascii="Times New Roman" w:hAnsi="Times New Roman"/>
          <w:sz w:val="24"/>
        </w:rPr>
        <w:t>La identificación de avances individuales se gestionó mediante códigos alfanuméricos temporales y hojas de cotejo observacional en el aula, desvinculadas de nombres personales y destruidas tras consolidar las frecuencias agregadas. Las confirmaciones locales y ejecuciones de integración continua se verificaron directamente en los puestos de trabajo sin almacenar credenciales ni identificadores personales persistentes en repositorios públicos.</w:t>
      </w:r>
    </w:p>
    <w:p>
      <w:pPr>
        <w:spacing w:line="240" w:lineRule="auto" w:after="120" w:before="0"/>
      </w:pPr>
      <w:r>
        <w:rPr>
          <w:rFonts w:ascii="Times New Roman" w:hAnsi="Times New Roman"/>
          <w:sz w:val="24"/>
        </w:rPr>
        <w:t>El análisis de los registros cuantitativos fue de carácter descriptivo (frecuencias absolutas y porcentajes). Las notas de campo y las consultas se sometieron a un análisis temático cualitativo mediante codificación inductiva abierta, realizada de manera independiente por dos integrantes del equipo investigador sobre el conjunto completo de notas de campo e incidencias registradas durante ambas jornadas; las discrepancias iniciales de codificación se resolvieron por consenso en sesiones de revisión conjunta hasta consolidar una matriz unificada organizada en los tres patrones temáticos informados.</w:t>
      </w:r>
    </w:p>
    <w:p>
      <w:pPr>
        <w:spacing w:before="200" w:after="80"/>
        <w:jc w:val="left"/>
      </w:pPr>
      <w:r>
        <w:rPr>
          <w:rFonts w:ascii="Times New Roman" w:hAnsi="Times New Roman"/>
          <w:b/>
          <w:sz w:val="24"/>
        </w:rPr>
        <w:t>2.7. Consideraciones éticas</w:t>
      </w:r>
    </w:p>
    <w:p>
      <w:pPr>
        <w:spacing w:line="240" w:lineRule="auto" w:after="120" w:before="0"/>
      </w:pPr>
      <w:r>
        <w:rPr>
          <w:rFonts w:ascii="Times New Roman" w:hAnsi="Times New Roman"/>
          <w:sz w:val="24"/>
        </w:rPr>
        <w:t>La investigación analizó registros agregados de asistencia, métricas técnicas anonimizadas y notas de campo elaboradas durante una actividad formativa voluntaria. Los participantes fueron informados previamente sobre el propósito investigativo de la experiencia, el carácter voluntario de su participación y el tratamiento agregado de los resultados. No se recopilaron datos personales sensibles ni se publicaron identificadores que permitieran vincular los resultados con participantes individuales. La actividad no tuvo consecuencias académicas ni evaluativas. El estudio no contó con evaluación previa de un comité de ética institucional, circunstancia que constituye una limitación del diseño y que deberá considerarse en futuras implementaciones.</w:t>
      </w:r>
    </w:p>
    <w:p>
      <w:pPr>
        <w:spacing w:before="280" w:after="120"/>
        <w:jc w:val="center"/>
      </w:pPr>
      <w:r>
        <w:rPr>
          <w:rFonts w:ascii="Times New Roman" w:hAnsi="Times New Roman"/>
          <w:b/>
          <w:sz w:val="24"/>
        </w:rPr>
        <w:t>3. RESULTADOS</w:t>
      </w:r>
    </w:p>
    <w:p>
      <w:pPr>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 implementación permitió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Consolas" w:hAnsi="Consolas"/>
          <w:sz w:val="21"/>
        </w:rPr>
        <w:t>rubrica.md</w:t>
      </w:r>
      <w:r>
        <w:rPr>
          <w:rFonts w:ascii="Times New Roman" w:hAnsi="Times New Roman"/>
          <w:sz w:val="24"/>
        </w:rPr>
        <w:t xml:space="preserve"> y generando borradores de devolución que citaban números de línea concretos. La formalización mediante habilidades estructuradas favoreció que los prediagnósticos conservaran una estructura común compuesta por: (a) identificación de fortalezas observadas, (b) señalamiento de inconsistencias algorítmicas con cita textual de código y (c) formulación de preguntas orientadoras para la corrección autónoma.</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spacing w:before="200" w:after="80"/>
        <w:jc w:val="left"/>
      </w:pPr>
      <w:r>
        <w:rPr>
          <w:rFonts w:ascii="Times New Roman" w:hAnsi="Times New Roman"/>
          <w:b/>
          <w:sz w:val="24"/>
        </w:rPr>
        <w:t>3.2. Participación y adopción instrumental durante el taller (PI2)</w:t>
      </w:r>
    </w:p>
    <w:p>
      <w:pPr>
        <w:spacing w:line="240" w:lineRule="auto" w:after="120" w:before="0"/>
      </w:pPr>
      <w:r>
        <w:rPr>
          <w:rFonts w:ascii="Times New Roman" w:hAnsi="Times New Roman"/>
          <w:sz w:val="24"/>
        </w:rPr>
        <w:t>La convocatoria registró 80 postulantes y 70 asistentes efectivos durante las dos jornadas (tasa de asistencia del 87,5 %). Sin embargo, la interacción con la infraestructura técnica del repositorio plantilla reveló una dinámica disímil en función de las herramientas empleadas.</w:t>
      </w:r>
    </w:p>
    <w:p>
      <w:pPr>
        <w:spacing w:line="240" w:lineRule="auto" w:after="120" w:before="0"/>
      </w:pPr>
      <w:r>
        <w:rPr>
          <w:rFonts w:ascii="Times New Roman" w:hAnsi="Times New Roman"/>
          <w:sz w:val="24"/>
        </w:rPr>
        <w:t>La Tabla 1 resume los niveles de progresión observados entre los participantes durante el tiempo sincrónico de las sesiones de laboratorio.</w:t>
      </w:r>
    </w:p>
    <w:p>
      <w:pPr>
        <w:spacing w:line="240" w:lineRule="auto" w:before="240" w:after="40"/>
      </w:pPr>
      <w:r>
        <w:rPr>
          <w:rFonts w:ascii="Times New Roman" w:hAnsi="Times New Roman"/>
          <w:b/>
          <w:sz w:val="24"/>
        </w:rPr>
        <w:t>Tabla 1</w:t>
      </w:r>
    </w:p>
    <w:p>
      <w:pPr>
        <w:spacing w:line="240" w:lineRule="auto" w:before="0" w:after="120"/>
      </w:pPr>
      <w:r>
        <w:rPr>
          <w:rFonts w:ascii="Times New Roman" w:hAnsi="Times New Roman"/>
          <w:i/>
          <w:sz w:val="24"/>
        </w:rPr>
        <w:t>Participación de los asistentes en las actividades técnicas del taller (N = 70)</w:t>
      </w:r>
    </w:p>
    <w:tbl>
      <w:tblPr>
        <w:tblW w:type="auto" w:w="0"/>
        <w:jc w:val="center"/>
        <w:tblLook w:firstColumn="1" w:firstRow="1" w:lastColumn="0" w:lastRow="0" w:noHBand="0" w:noVBand="1" w:val="04A0"/>
      </w:tblPr>
      <w:tblGrid>
        <w:gridCol w:w="2835"/>
        <w:gridCol w:w="2835"/>
        <w:gridCol w:w="2835"/>
      </w:tblGrid>
      <w:tr>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left"/>
            </w:pPr>
            <w:r>
              <w:rPr>
                <w:b/>
              </w:rPr>
            </w:r>
            <w:r>
              <w:rPr>
                <w:rFonts w:ascii="Times New Roman" w:hAnsi="Times New Roman"/>
                <w:b/>
                <w:sz w:val="20"/>
              </w:rPr>
              <w:t>Actividad o logro observado</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Frecuencia (n)</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Porcentaje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Asistentes presentes en el taller</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70</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100,0 %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Acceso y clonación del repositorio plantilla</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41</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58,6 %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Resolución del cuestionario web interactivo (</w:t>
            </w:r>
            <w:r>
              <w:rPr>
                <w:rFonts w:ascii="Consolas" w:hAnsi="Consolas"/>
                <w:sz w:val="17"/>
              </w:rPr>
              <w:t>index.html</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52</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74,3 %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Ejecución local del evaluador (</w:t>
            </w:r>
            <w:r>
              <w:rPr>
                <w:rFonts w:ascii="Consolas" w:hAnsi="Consolas"/>
                <w:sz w:val="17"/>
              </w:rPr>
              <w:t>autograder_taller.py</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19</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27,1 %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 xml:space="preserve">Realización de al menos un </w:t>
            </w:r>
            <w:r>
              <w:rPr>
                <w:rFonts w:ascii="Times New Roman" w:hAnsi="Times New Roman"/>
                <w:i/>
                <w:sz w:val="20"/>
              </w:rPr>
              <w:t>commit</w:t>
            </w:r>
            <w:r>
              <w:rPr>
                <w:rFonts w:ascii="Times New Roman" w:hAnsi="Times New Roman"/>
                <w:sz w:val="20"/>
              </w:rPr>
              <w:t xml:space="preserve"> local</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14</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Envío exitoso de cambios a GitHub (</w:t>
            </w:r>
            <w:r>
              <w:rPr>
                <w:rFonts w:ascii="Times New Roman" w:hAnsi="Times New Roman"/>
                <w:i/>
                <w:sz w:val="20"/>
              </w:rPr>
              <w:t>push</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6</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8,6 %</w:t>
            </w:r>
          </w:p>
        </w:tc>
      </w:tr>
      <w:tr>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left"/>
            </w:pPr>
            <w:r/>
            <w:r>
              <w:rPr>
                <w:rFonts w:ascii="Times New Roman" w:hAnsi="Times New Roman"/>
                <w:sz w:val="20"/>
              </w:rPr>
              <w:t>Culminación integral autónoma del flujo de integración continua (100 pts)</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1,4 %</w:t>
            </w:r>
          </w:p>
        </w:tc>
      </w:tr>
    </w:tbl>
    <w:p>
      <w:pPr>
        <w:spacing w:line="240" w:lineRule="auto" w:before="60" w:after="240"/>
      </w:pPr>
      <w:r>
        <w:rPr>
          <w:rFonts w:ascii="Times New Roman" w:hAnsi="Times New Roman"/>
          <w:i/>
          <w:sz w:val="20"/>
        </w:rPr>
        <w:t>Nota.</w:t>
      </w:r>
      <w:r>
        <w:rPr>
          <w:rFonts w:ascii="Times New Roman" w:hAnsi="Times New Roman"/>
          <w:sz w:val="20"/>
        </w:rPr>
        <w:t xml:space="preserve"> Las categorías no representan etapas mutuamente excluyentes ni necesariamente acumulativas. El cuestionario web interactivo también estuvo disponible mediante acceso directo desde el navegador (sin requerir clonación previa del repositorio). Los datos de ejecuciones de integración continua se obtuvieron de los registros de GitHub Actions. El acceso al repositorio, la clonación, la ejecución local de scripts y la realización de confirmaciones de cambios fueron registrados mediante observación directa y asistencia técnica en el aula. Se consideró culminación autónoma la obtención de 100 puntos en GitHub Actions durante el horario sincrónico del taller, sin intervención directa del equipo capacitador sobre el equipo, los archivos o los comandos ejecutados por el participante.</w:t>
      </w:r>
    </w:p>
    <w:p>
      <w:pPr>
        <w:spacing w:line="240" w:lineRule="auto" w:after="120" w:before="0"/>
      </w:pPr>
      <w:r>
        <w:rPr>
          <w:rFonts w:ascii="Times New Roman" w:hAnsi="Times New Roman"/>
          <w:sz w:val="24"/>
        </w:rPr>
        <w:t>Como se observa en la Tabla 1, mientras que el 74,3 % de los asistentes resolvió con éxito las actividades conceptuales provistas mediante la interfaz web desacoplada (</w:t>
      </w:r>
      <w:r>
        <w:rPr>
          <w:rFonts w:ascii="Consolas" w:hAnsi="Consolas"/>
          <w:sz w:val="21"/>
        </w:rPr>
        <w:t>index.html</w:t>
      </w:r>
      <w:r>
        <w:rPr>
          <w:rFonts w:ascii="Times New Roman" w:hAnsi="Times New Roman"/>
          <w:sz w:val="24"/>
        </w:rPr>
        <w:t xml:space="preserve">), únicamente 6 personas (8,6 %) lograron sincronizar cambios remotos hacia GitHub, y </w:t>
      </w:r>
      <w:r>
        <w:rPr>
          <w:rFonts w:ascii="Times New Roman" w:hAnsi="Times New Roman"/>
          <w:b/>
          <w:sz w:val="24"/>
        </w:rPr>
        <w:t>un único participante (1,4 %) completó de manera plenamente autónoma la totalidad de los requisitos verificados por GitHub Actions (100 puntos)</w:t>
      </w:r>
      <w:r>
        <w:rPr>
          <w:rFonts w:ascii="Times New Roman" w:hAnsi="Times New Roman"/>
          <w:sz w:val="24"/>
        </w:rPr>
        <w:t xml:space="preserve"> durante el horario del taller.</w:t>
      </w:r>
    </w:p>
    <w:p>
      <w:pPr>
        <w:spacing w:before="200" w:after="80"/>
        <w:jc w:val="left"/>
      </w:pPr>
      <w:r>
        <w:rPr>
          <w:rFonts w:ascii="Times New Roman" w:hAnsi="Times New Roman"/>
          <w:b/>
          <w:sz w:val="24"/>
        </w:rPr>
        <w:t>3.3. Factores asociados a la adopción y barreras emergentes (PI3)</w:t>
      </w:r>
    </w:p>
    <w:p>
      <w:pPr>
        <w:spacing w:line="240" w:lineRule="auto" w:after="120" w:before="0"/>
      </w:pPr>
      <w:r>
        <w:rPr>
          <w:rFonts w:ascii="Times New Roman" w:hAnsi="Times New Roman"/>
          <w:sz w:val="24"/>
        </w:rPr>
        <w:t>El análisis temático de las notas de campo y las consultas de los participantes permitió identificar tres patrones recurrentes asociados con la brecha observada en la culminación del flujo técnico:</w:t>
      </w:r>
    </w:p>
    <w:p>
      <w:pPr>
        <w:spacing w:line="240" w:lineRule="auto" w:after="120" w:before="0"/>
      </w:pPr>
      <w:r>
        <w:rPr>
          <w:rFonts w:ascii="Times New Roman" w:hAnsi="Times New Roman"/>
          <w:sz w:val="24"/>
        </w:rPr>
        <w:t xml:space="preserve">1. </w:t>
      </w:r>
      <w:r>
        <w:rPr>
          <w:rFonts w:ascii="Times New Roman" w:hAnsi="Times New Roman"/>
          <w:b/>
          <w:sz w:val="24"/>
        </w:rPr>
        <w:t>Fricción instrumental con el ecosistema de control de versiones (Git/CLI):</w:t>
      </w:r>
      <w:r>
        <w:rPr>
          <w:rFonts w:ascii="Times New Roman" w:hAnsi="Times New Roman"/>
          <w:sz w:val="24"/>
        </w:rPr>
        <w:t xml:space="preserve"> La barrera más recurrentemente registrada en las notas de campo (n = 28 incidencias documentadas) no estuvo vinculada con la comprensión pedagógica de MCP, sino con incidentes instrumentales durante el uso de la terminal: errores en la autenticación de cuentas mediante tokens de acceso personal en GitHub, fallas de sintaxis en comandos de consola (</w:t>
      </w:r>
      <w:r>
        <w:rPr>
          <w:rFonts w:ascii="Consolas" w:hAnsi="Consolas"/>
          <w:sz w:val="21"/>
        </w:rPr>
        <w:t>git commit -m</w:t>
      </w:r>
      <w:r>
        <w:rPr>
          <w:rFonts w:ascii="Times New Roman" w:hAnsi="Times New Roman"/>
          <w:sz w:val="24"/>
        </w:rPr>
        <w:t>) y desorientación ante estados de bifurcación o ramas desacopladas (</w:t>
      </w:r>
      <w:r>
        <w:rPr>
          <w:rFonts w:ascii="Times New Roman" w:hAnsi="Times New Roman"/>
          <w:i/>
          <w:sz w:val="24"/>
        </w:rPr>
        <w:t>detached HEAD</w:t>
      </w:r>
      <w:r>
        <w:rPr>
          <w:rFonts w:ascii="Times New Roman" w:hAnsi="Times New Roman"/>
          <w:sz w:val="24"/>
        </w:rPr>
        <w:t>).</w:t>
      </w:r>
    </w:p>
    <w:p>
      <w:pPr>
        <w:spacing w:line="240" w:lineRule="auto" w:after="120" w:before="0"/>
      </w:pPr>
      <w:r>
        <w:rPr>
          <w:rFonts w:ascii="Times New Roman" w:hAnsi="Times New Roman"/>
          <w:sz w:val="24"/>
        </w:rPr>
        <w:t xml:space="preserve">2. </w:t>
      </w:r>
      <w:r>
        <w:rPr>
          <w:rFonts w:ascii="Times New Roman" w:hAnsi="Times New Roman"/>
          <w:b/>
          <w:sz w:val="24"/>
        </w:rPr>
        <w:t>Modalidad de participación predominantemente observacional:</w:t>
      </w:r>
      <w:r>
        <w:rPr>
          <w:rFonts w:ascii="Times New Roman" w:hAnsi="Times New Roman"/>
          <w:sz w:val="24"/>
        </w:rPr>
        <w:t xml:space="preserve"> Se registraron casos reiterados (n = 21 observaciones) de participantes que siguieron las demostraciones del instructor en pantalla, tomaron notas metodológicas y postergaron la configuración en sus propios equipos, manifestando explícitamente su preferencia por diferir la ejecución técnica para una instancia asincrónica posterior sin presión temporal.</w:t>
      </w:r>
    </w:p>
    <w:p>
      <w:pPr>
        <w:spacing w:line="240" w:lineRule="auto" w:after="120" w:before="0"/>
      </w:pPr>
      <w:r>
        <w:rPr>
          <w:rFonts w:ascii="Times New Roman" w:hAnsi="Times New Roman"/>
          <w:sz w:val="24"/>
        </w:rPr>
        <w:t xml:space="preserve">3. </w:t>
      </w:r>
      <w:r>
        <w:rPr>
          <w:rFonts w:ascii="Times New Roman" w:hAnsi="Times New Roman"/>
          <w:b/>
          <w:sz w:val="24"/>
        </w:rPr>
        <w:t>Disposición favorable hacia interfaces interactivas desacopladas:</w:t>
      </w:r>
      <w:r>
        <w:rPr>
          <w:rFonts w:ascii="Times New Roman" w:hAnsi="Times New Roman"/>
          <w:sz w:val="24"/>
        </w:rPr>
        <w:t xml:space="preserve"> Se observó una marcada fluidez operativa (n = 15 registros positivos) cuando los participantes interactuaron con el cuestionario y los recursos didácticos web locales en HTML/JS. Al no requerir dependencias de compilación ni comandos de consola, estos recursos permitieron a los asistentes validar conceptos algorítmicos y de evaluación sin experimentar bloqueos técnicos.</w:t>
      </w:r>
    </w:p>
    <w:p>
      <w:pPr>
        <w:spacing w:line="240" w:lineRule="auto" w:after="120" w:before="0"/>
      </w:pPr>
      <w:r>
        <w:rPr>
          <w:rFonts w:ascii="Times New Roman" w:hAnsi="Times New Roman"/>
          <w:sz w:val="24"/>
        </w:rPr>
        <w:t>Estos patrones fundamentaron tres necesidades de andamiaje: una ruta preliminar de alfabetización en Git, la disponibilidad de interfaces visuales equivalentes y una secuenciación que permita apropiarse primero de los principios pedagógicos antes de incorporar el flujo técnico completo.</w:t>
      </w:r>
    </w:p>
    <w:p>
      <w:pPr>
        <w:spacing w:before="280" w:after="120"/>
        <w:jc w:val="center"/>
      </w:pPr>
      <w:r>
        <w:rPr>
          <w:rFonts w:ascii="Times New Roman" w:hAnsi="Times New Roman"/>
          <w:b/>
          <w:sz w:val="24"/>
        </w:rPr>
        <w:t>4. DISCUSIÓN</w:t>
      </w:r>
    </w:p>
    <w:p>
      <w:pPr>
        <w:spacing w:before="200" w:after="80"/>
        <w:jc w:val="left"/>
      </w:pPr>
      <w:r>
        <w:rPr>
          <w:rFonts w:ascii="Times New Roman" w:hAnsi="Times New Roman"/>
          <w:b/>
          <w:sz w:val="24"/>
        </w:rPr>
        <w:t>4.1. La brecha de instrumentación (*Tooling Gap*) como factor crítico</w:t>
      </w:r>
    </w:p>
    <w:p>
      <w:pPr>
        <w:spacing w:line="240" w:lineRule="auto" w:after="120" w:before="0"/>
      </w:pPr>
      <w:r>
        <w:rPr>
          <w:rFonts w:ascii="Times New Roman" w:hAnsi="Times New Roman"/>
          <w:sz w:val="24"/>
        </w:rPr>
        <w:t>El marcado contraste entre la elevada tasa de asistencia de la cohorte (87,5 %) y la baja culminación sincrónica del flujo automatizado en GitHub Actions (1,4 %) constituye el hallazgo empírico más relevante de la experiencia.</w:t>
      </w:r>
    </w:p>
    <w:p>
      <w:pPr>
        <w:spacing w:line="240" w:lineRule="auto" w:after="120" w:before="0"/>
      </w:pPr>
      <w:r>
        <w:rPr>
          <w:rFonts w:ascii="Times New Roman" w:hAnsi="Times New Roman"/>
          <w:sz w:val="24"/>
        </w:rPr>
        <w:t>Los resultados de este estudio sugieren que la incorporación simultánea de herramientas profesionales de integración continua y control de versiones puede introducir una carga instrumental secundaria que compite con los objetivos pedagógicos centrales del taller. Cuando se intenta capacitar en el diseño de agentes de IA y se exige simultáneamente el dominio de flujos completos de Git y terminal, la fricción instrumental puede dificultar la apropiación pedagógica.</w:t>
      </w:r>
    </w:p>
    <w:p>
      <w:pPr>
        <w:spacing w:line="240" w:lineRule="auto" w:after="120" w:before="0"/>
      </w:pPr>
      <w:r>
        <w:rPr>
          <w:rFonts w:ascii="Times New Roman" w:hAnsi="Times New Roman"/>
          <w:sz w:val="24"/>
        </w:rPr>
        <w:t>Este hallazgo fundamenta la necesidad de repensar los canales de entrega. Para que arquitecturas basadas en MCP puedan ser adoptadas de forma amplia por docentes universitarios de diversas disciplinas, es imprescindible encapsular la complejidad de la consola de comandos mediante editores con interfaces gráficas amigables, extensiones integradas o plataformas de aprendizaje nativas que no requieran manipulación directa de flujos Git de bajo nivel.</w:t>
      </w:r>
    </w:p>
    <w:p>
      <w:pPr>
        <w:spacing w:before="200" w:after="80"/>
        <w:jc w:val="left"/>
      </w:pPr>
      <w:r>
        <w:rPr>
          <w:rFonts w:ascii="Times New Roman" w:hAnsi="Times New Roman"/>
          <w:b/>
          <w:sz w:val="24"/>
        </w:rPr>
        <w:t>4.2. Especificaciones formales y consistencia en los prediagnósticos</w:t>
      </w:r>
    </w:p>
    <w:p>
      <w:pPr>
        <w:spacing w:line="240" w:lineRule="auto" w:after="120" w:before="0"/>
      </w:pPr>
      <w:r>
        <w:rPr>
          <w:rFonts w:ascii="Times New Roman" w:hAnsi="Times New Roman"/>
          <w:sz w:val="24"/>
        </w:rPr>
        <w:t xml:space="preserve">Durante las pruebas de pilotaje curricular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se observó una mayor consistencia aparente en la estructura de los borradores de evaluación cuando el agente operó subordinado a archivos </w:t>
      </w:r>
      <w:r>
        <w:rPr>
          <w:rFonts w:ascii="Consolas" w:hAnsi="Consolas"/>
          <w:sz w:val="21"/>
        </w:rPr>
        <w:t>AGENTS.md</w:t>
      </w:r>
      <w:r>
        <w:rPr>
          <w:rFonts w:ascii="Times New Roman" w:hAnsi="Times New Roman"/>
          <w:sz w:val="24"/>
        </w:rPr>
        <w:t xml:space="preserve"> y rúbricas analíticas formalizadas.</w:t>
      </w:r>
    </w:p>
    <w:p>
      <w:pPr>
        <w:spacing w:line="240" w:lineRule="auto" w:after="120" w:before="0"/>
      </w:pPr>
      <w:r>
        <w:rPr>
          <w:rFonts w:ascii="Times New Roman" w:hAnsi="Times New Roman"/>
          <w:sz w:val="24"/>
        </w:rPr>
        <w:t>La exigencia protocolizada de vincular cada dictamen a evidencias localizables en el código facilitó la detección docente de afirmaciones erróneas y estableció condiciones operativas orientadas a reducir el riesgo de aceptar evaluaciones no verificadas. Al limitar las herramientas del agente a la inspección pericial mediante MCP, se restringió operativamente la generación directa de soluciones completas y se orientó la respuesta hacia observaciones diagnósticas y preguntas de andamiaje. No obstante, esta consistencia observada requiere ser validada en investigaciones futuras mediante coeficientes estandarizados de concordancia interjueces y diseños cuasiexperimentales controlados.</w:t>
      </w:r>
    </w:p>
    <w:p>
      <w:pPr>
        <w:spacing w:before="200" w:after="80"/>
        <w:jc w:val="left"/>
      </w:pPr>
      <w:r>
        <w:rPr>
          <w:rFonts w:ascii="Times New Roman" w:hAnsi="Times New Roman"/>
          <w:b/>
          <w:sz w:val="24"/>
        </w:rPr>
        <w:t>4.3. Supervisión humana (*Human-in-the-Loop*) y gobernanza ética</w:t>
      </w:r>
    </w:p>
    <w:p>
      <w:pPr>
        <w:spacing w:line="240" w:lineRule="auto" w:after="120" w:before="0"/>
      </w:pPr>
      <w:r>
        <w:rPr>
          <w:rFonts w:ascii="Times New Roman" w:hAnsi="Times New Roman"/>
          <w:sz w:val="24"/>
        </w:rPr>
        <w:t>La experiencia respalda el uso de los agentes como asistentes de diagnóstico preliminar, manteniendo la decisión evaluativa final bajo responsabilidad docente. Durante el pilotaje, el equipo docente percibió que el prediagnóstico asistido disminuía el trabajo rutinario de localización y cotejo de patrones de código; sin embargo, esta percepción no fue cuantificada mediante un protocolo temporal controlado.</w:t>
      </w:r>
    </w:p>
    <w:p>
      <w:pPr>
        <w:spacing w:line="240" w:lineRule="auto" w:after="120" w:before="0"/>
      </w:pPr>
      <w:r>
        <w:rPr>
          <w:rFonts w:ascii="Times New Roman" w:hAnsi="Times New Roman"/>
          <w:sz w:val="24"/>
        </w:rPr>
        <w:t>Delegar la retroalimentación final directamente en un modelo generativo sin intervención humana vulnera el principio de responsabilidad pedagógica e incrementa la desprotección del estudiante ante eventuales sesgos algorítmicos. La supervisión activa no representa un obstáculo burocrático, sino la condición indispensable para que la tecnología opere de manera ética y formativamente significativa.</w:t>
      </w:r>
    </w:p>
    <w:p>
      <w:pPr>
        <w:spacing w:before="200" w:after="80"/>
        <w:jc w:val="left"/>
      </w:pPr>
      <w:r>
        <w:rPr>
          <w:rFonts w:ascii="Times New Roman" w:hAnsi="Times New Roman"/>
          <w:b/>
          <w:sz w:val="24"/>
        </w:rPr>
        <w:t>4.4. Implicaciones para la formación docente en informática</w:t>
      </w:r>
    </w:p>
    <w:p>
      <w:pPr>
        <w:spacing w:line="240" w:lineRule="auto" w:after="120" w:before="0"/>
      </w:pPr>
      <w:r>
        <w:rPr>
          <w:rFonts w:ascii="Times New Roman" w:hAnsi="Times New Roman"/>
          <w:sz w:val="24"/>
        </w:rPr>
        <w:t>La interacción entre docentes de ingeniería en ejercicio y futuros formadores en informática educativa permitió observar aportes potencialmente complementarios para la innovación educativa. Las notas de campo sugirieron diferencias de énfasis entre ambos perfiles: en las intervenciones de participantes vinculados con ingeniería se registraron consultas relacionadas con el control sintáctico y el aislamiento de entornos, mientras que entre los perfiles de formación pedagógica fueron recurrentes las preguntas sobre rúbricas, lenguaje de retroalimentación y accesibilidad. Integrar ambas miradas resulta imprescindible para evitar tanto el determinismo técnico como la adopción pedagógica ingenua de la IA.</w:t>
      </w:r>
    </w:p>
    <w:p>
      <w:pPr>
        <w:spacing w:before="200" w:after="80"/>
        <w:jc w:val="left"/>
      </w:pPr>
      <w:r>
        <w:rPr>
          <w:rFonts w:ascii="Times New Roman" w:hAnsi="Times New Roman"/>
          <w:b/>
          <w:sz w:val="24"/>
        </w:rPr>
        <w:t>4.5. Limitaciones del estudio</w:t>
      </w:r>
    </w:p>
    <w:p>
      <w:pPr>
        <w:spacing w:line="240" w:lineRule="auto" w:after="120" w:before="0"/>
      </w:pPr>
      <w:r>
        <w:rPr>
          <w:rFonts w:ascii="Times New Roman" w:hAnsi="Times New Roman"/>
          <w:sz w:val="24"/>
        </w:rPr>
        <w:t>Los hallazgos del presente trabajo deben interpretarse a la luz de diversas limitaciones metodológicas:</w:t>
      </w:r>
    </w:p>
    <w:p>
      <w:pPr>
        <w:spacing w:line="240" w:lineRule="auto" w:after="120" w:before="0"/>
      </w:pPr>
      <w:r>
        <w:rPr>
          <w:rFonts w:ascii="Times New Roman" w:hAnsi="Times New Roman"/>
          <w:sz w:val="24"/>
        </w:rPr>
        <w:t xml:space="preserve">1. </w:t>
      </w:r>
      <w:r>
        <w:rPr>
          <w:rFonts w:ascii="Times New Roman" w:hAnsi="Times New Roman"/>
          <w:b/>
          <w:sz w:val="24"/>
        </w:rPr>
        <w:t>Muestra intencional y localizada:</w:t>
      </w:r>
      <w:r>
        <w:rPr>
          <w:rFonts w:ascii="Times New Roman" w:hAnsi="Times New Roman"/>
          <w:sz w:val="24"/>
        </w:rPr>
        <w:t xml:space="preserve"> La población del taller estuvo conformada por una muestra no probabilística de participantes pertenecientes a dos instituciones de una misma región, lo que restringe la generalización de los resultados.</w:t>
      </w:r>
    </w:p>
    <w:p>
      <w:pPr>
        <w:spacing w:line="240" w:lineRule="auto" w:after="120" w:before="0"/>
      </w:pPr>
      <w:r>
        <w:rPr>
          <w:rFonts w:ascii="Times New Roman" w:hAnsi="Times New Roman"/>
          <w:sz w:val="24"/>
        </w:rPr>
        <w:t xml:space="preserve">2. </w:t>
      </w:r>
      <w:r>
        <w:rPr>
          <w:rFonts w:ascii="Times New Roman" w:hAnsi="Times New Roman"/>
          <w:b/>
          <w:sz w:val="24"/>
        </w:rPr>
        <w:t>Diseño descriptivo sin grupo de comparación:</w:t>
      </w:r>
      <w:r>
        <w:rPr>
          <w:rFonts w:ascii="Times New Roman" w:hAnsi="Times New Roman"/>
          <w:sz w:val="24"/>
        </w:rPr>
        <w:t xml:space="preserve"> La investigación no contempló un grupo de control ni mediciones de tipo pretest/postest para evaluar cuantitativamente el aprendizaje o la ganancia de competencias en comparación con metodologías formativas tradicionales.</w:t>
      </w:r>
    </w:p>
    <w:p>
      <w:pPr>
        <w:spacing w:line="240" w:lineRule="auto" w:after="120" w:before="0"/>
      </w:pPr>
      <w:r>
        <w:rPr>
          <w:rFonts w:ascii="Times New Roman" w:hAnsi="Times New Roman"/>
          <w:sz w:val="24"/>
        </w:rPr>
        <w:t xml:space="preserve">3. </w:t>
      </w:r>
      <w:r>
        <w:rPr>
          <w:rFonts w:ascii="Times New Roman" w:hAnsi="Times New Roman"/>
          <w:b/>
          <w:sz w:val="24"/>
        </w:rPr>
        <w:t>Ausencia de mediciones de línea de base:</w:t>
      </w:r>
      <w:r>
        <w:rPr>
          <w:rFonts w:ascii="Times New Roman" w:hAnsi="Times New Roman"/>
          <w:sz w:val="24"/>
        </w:rPr>
        <w:t xml:space="preserve"> No se aplicó un instrumento previo estandarizado para cuantificar el nivel de competencia de los participantes en herramientas de control de versiones (Git) o en el uso de IA generativa, lo que impide aislar con precisión el peso relativo de las habilidades previas sobre la baja culminación del pipeline.</w:t>
      </w:r>
    </w:p>
    <w:p>
      <w:pPr>
        <w:spacing w:line="240" w:lineRule="auto" w:after="120" w:before="0"/>
      </w:pPr>
      <w:r>
        <w:rPr>
          <w:rFonts w:ascii="Times New Roman" w:hAnsi="Times New Roman"/>
          <w:sz w:val="24"/>
        </w:rPr>
        <w:t xml:space="preserve">4. </w:t>
      </w:r>
      <w:r>
        <w:rPr>
          <w:rFonts w:ascii="Times New Roman" w:hAnsi="Times New Roman"/>
          <w:b/>
          <w:sz w:val="24"/>
        </w:rPr>
        <w:t>Restricción temporal del taller:</w:t>
      </w:r>
      <w:r>
        <w:rPr>
          <w:rFonts w:ascii="Times New Roman" w:hAnsi="Times New Roman"/>
          <w:sz w:val="24"/>
        </w:rPr>
        <w:t xml:space="preserve"> La duración de diez horas reloj concentradas en dos jornadas consecutivas pudo haber acentuado la sobrecarga cognitiva, limitando el tiempo disponible para la resolución autónoma de contingencias técnicas complejas.</w:t>
      </w:r>
    </w:p>
    <w:p>
      <w:pPr>
        <w:spacing w:line="240" w:lineRule="auto" w:after="120" w:before="0"/>
      </w:pPr>
      <w:r>
        <w:rPr>
          <w:rFonts w:ascii="Times New Roman" w:hAnsi="Times New Roman"/>
          <w:sz w:val="24"/>
        </w:rPr>
        <w:t xml:space="preserve">5. </w:t>
      </w:r>
      <w:r>
        <w:rPr>
          <w:rFonts w:ascii="Times New Roman" w:hAnsi="Times New Roman"/>
          <w:b/>
          <w:sz w:val="24"/>
        </w:rPr>
        <w:t>Doble rol del equipo investigador:</w:t>
      </w:r>
      <w:r>
        <w:rPr>
          <w:rFonts w:ascii="Times New Roman" w:hAnsi="Times New Roman"/>
          <w:sz w:val="24"/>
        </w:rPr>
        <w:t xml:space="preserve"> La participación de los investigadores como diseñadores de la arquitectura, docentes a cargo del pilotaje y capacitadores en el taller introduce un potencial sesgo de observación, atenuado parcialmente mediante el uso de registros técnicos automatizados.</w:t>
      </w:r>
    </w:p>
    <w:p>
      <w:pPr>
        <w:spacing w:line="240" w:lineRule="auto" w:after="120" w:before="0"/>
      </w:pPr>
      <w:r>
        <w:rPr>
          <w:rFonts w:ascii="Times New Roman" w:hAnsi="Times New Roman"/>
          <w:sz w:val="24"/>
        </w:rPr>
        <w:t xml:space="preserve">6. </w:t>
      </w:r>
      <w:r>
        <w:rPr>
          <w:rFonts w:ascii="Times New Roman" w:hAnsi="Times New Roman"/>
          <w:b/>
          <w:sz w:val="24"/>
        </w:rPr>
        <w:t>Carácter preliminar del análisis temporal:</w:t>
      </w:r>
      <w:r>
        <w:rPr>
          <w:rFonts w:ascii="Times New Roman" w:hAnsi="Times New Roman"/>
          <w:sz w:val="24"/>
        </w:rPr>
        <w:t xml:space="preserve"> Las observaciones sobre el ahorro de tiempo docente en la revisión son cualitativas y proceden de la experiencia de pilotaje, no habiendo sido sometidas a un protocolo formal de cronometraje y comparación experimental.</w:t>
      </w:r>
    </w:p>
    <w:p>
      <w:pPr>
        <w:spacing w:line="240" w:lineRule="auto" w:after="120" w:before="0"/>
      </w:pPr>
      <w:r>
        <w:rPr>
          <w:rFonts w:ascii="Times New Roman" w:hAnsi="Times New Roman"/>
          <w:sz w:val="24"/>
        </w:rPr>
        <w:t xml:space="preserve">7. </w:t>
      </w:r>
      <w:r>
        <w:rPr>
          <w:rFonts w:ascii="Times New Roman" w:hAnsi="Times New Roman"/>
          <w:b/>
          <w:sz w:val="24"/>
        </w:rPr>
        <w:t>Ausencia de dictamen previo por comité de ética:</w:t>
      </w:r>
      <w:r>
        <w:rPr>
          <w:rFonts w:ascii="Times New Roman" w:hAnsi="Times New Roman"/>
          <w:sz w:val="24"/>
        </w:rPr>
        <w:t xml:space="preserve"> Si bien se garantizó la anonimización, el carácter voluntario y la comunicación previa del propósito pedagógico, la intervención formativa no contó con una certificación formal de exención emitida por un comité de ética institucional, constituyendo un aspecto a protocolizar en futuras investigaciones.</w:t>
      </w:r>
    </w:p>
    <w:p>
      <w:pPr>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implementación y estudio de transferencia de una arquitectura sociotécnica para la evaluación continua asistida por agentes de inteligencia artificial en programación universitaria, basada en el Protocolo de Contexto de Modelo (MCP), especificaciones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 y pedagógica:</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ética y pedagógica humana.</w:t>
      </w:r>
    </w:p>
    <w:p>
      <w:pPr>
        <w:spacing w:line="240" w:lineRule="auto" w:after="120" w:before="0"/>
      </w:pPr>
      <w:r>
        <w:rPr>
          <w:rFonts w:ascii="Times New Roman" w:hAnsi="Times New Roman"/>
          <w:sz w:val="24"/>
        </w:rPr>
        <w:t xml:space="preserve">3. </w:t>
      </w:r>
      <w:r>
        <w:rPr>
          <w:rFonts w:ascii="Times New Roman" w:hAnsi="Times New Roman"/>
          <w:b/>
          <w:sz w:val="24"/>
        </w:rPr>
        <w:t>Identificación de la brecha instrumental:</w:t>
      </w:r>
      <w:r>
        <w:rPr>
          <w:rFonts w:ascii="Times New Roman" w:hAnsi="Times New Roman"/>
          <w:sz w:val="24"/>
        </w:rPr>
        <w:t xml:space="preserve"> El estudio identificó la fricción asociada con Git y la consola como el principal cuello de botella observado durante el taller, respaldando la conveniencia de desarrollar interfaces visuales y recursos desacoplados que faciliten una apropiación pedagógica gradual.</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 final de los estudiantes.</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 detectada.</w:t>
      </w:r>
    </w:p>
    <w:p>
      <w:pPr>
        <w:spacing w:line="240" w:lineRule="auto" w:after="120" w:before="0"/>
      </w:pPr>
      <w:r>
        <w:rPr>
          <w:rFonts w:ascii="Times New Roman" w:hAnsi="Times New Roman"/>
          <w:sz w:val="24"/>
        </w:rPr>
        <w:t>- La profundización en estudios de concordancia interjueces para cuantificar la consistencia evaluativa alcanzada mediante el uso de especificaciones matriciales formales.</w:t>
      </w:r>
    </w:p>
    <w:p>
      <w:pPr>
        <w:spacing w:before="280" w:after="120"/>
        <w:jc w:val="center"/>
      </w:pPr>
      <w:r>
        <w:rPr>
          <w:rFonts w:ascii="Times New Roman" w:hAnsi="Times New Roman"/>
          <w:b/>
          <w:sz w:val="24"/>
        </w:rPr>
        <w:t>6. DECLARACIONES OBLIGATORIAS</w:t>
      </w:r>
    </w:p>
    <w:p>
      <w:pPr>
        <w:spacing w:before="200" w:after="80"/>
        <w:jc w:val="left"/>
      </w:pPr>
      <w:r>
        <w:rPr>
          <w:rFonts w:ascii="Times New Roman" w:hAnsi="Times New Roman"/>
          <w:b/>
          <w:sz w:val="24"/>
        </w:rPr>
        <w:t>Declaración de financiamiento</w:t>
      </w:r>
    </w:p>
    <w:p>
      <w:pPr>
        <w:spacing w:line="240" w:lineRule="auto" w:after="120" w:before="0"/>
      </w:pPr>
      <w:r>
        <w:rPr>
          <w:rFonts w:ascii="Times New Roman" w:hAnsi="Times New Roman"/>
          <w:sz w:val="24"/>
        </w:rPr>
        <w:t>La información identificatoria sobre la fuente institucional de financiamiento se ha omitido temporalmente para preservar la evaluación a doble ciego y fue comunicada al Comité Editorial mediante la plataforma. Se incorporará en la versión aceptada.</w:t>
      </w:r>
    </w:p>
    <w:p>
      <w:pPr>
        <w:spacing w:before="200" w:after="80"/>
        <w:jc w:val="left"/>
      </w:pPr>
      <w:r>
        <w:rPr>
          <w:rFonts w:ascii="Times New Roman" w:hAnsi="Times New Roman"/>
          <w:b/>
          <w:sz w:val="24"/>
        </w:rPr>
        <w:t>Declaración sobre uso de inteligencia artificial</w:t>
      </w:r>
    </w:p>
    <w:p>
      <w:pPr>
        <w:spacing w:line="240" w:lineRule="auto" w:after="120" w:before="0"/>
      </w:pPr>
      <w:r>
        <w:rPr>
          <w:rFonts w:ascii="Times New Roman" w:hAnsi="Times New Roman"/>
          <w:sz w:val="24"/>
        </w:rPr>
        <w:t>Durante la preparación de este trabajo, los autores utilizaron Antigravity IDE y Claude 3.7 Sonnet para asistir en la organización preliminar del texto, la revisión gramatical del manuscrito en español y la traducción del resumen al inglés. Los autores revisaron y editaron críticamente el contenido generado o reformulado, verificaron las referencias y los datos informados, y asumen plena responsabilidad por el contenido final de la publicación.</w:t>
      </w:r>
    </w:p>
    <w:p>
      <w:pPr>
        <w:spacing w:before="200" w:after="80"/>
        <w:jc w:val="left"/>
      </w:pPr>
      <w:r>
        <w:rPr>
          <w:rFonts w:ascii="Times New Roman" w:hAnsi="Times New Roman"/>
          <w:b/>
          <w:sz w:val="24"/>
        </w:rPr>
        <w:t>Aprobación ética</w:t>
      </w:r>
    </w:p>
    <w:p>
      <w:pPr>
        <w:spacing w:line="240" w:lineRule="auto" w:after="120" w:before="0"/>
      </w:pPr>
      <w:r>
        <w:rPr>
          <w:rFonts w:ascii="Times New Roman" w:hAnsi="Times New Roman"/>
          <w:sz w:val="24"/>
        </w:rPr>
        <w:t>La investigación analizó registros agregados de asistencia, métricas técnicas anonimizadas y notas de campo elaboradas durante una actividad formativa voluntaria. Los participantes fueron informados previamente sobre el propósito investigativo de la experiencia, el carácter voluntario de su participación y el tratamiento agregado de los resultados. No se recopilaron datos personales sensibles ni se publicaron identificadores que permitieran vincular los resultados con participantes individuales. La actividad no tuvo consecuencias académicas ni evaluativas. El estudio no contó con evaluación previa de un comité de ética institucional, circunstancia que constituye una limitación del diseño y que deberá considerarse en futuras implementaciones.</w:t>
      </w:r>
    </w:p>
    <w:p>
      <w:pPr>
        <w:spacing w:before="280" w:after="120"/>
        <w:jc w:val="center"/>
      </w:pPr>
      <w:r>
        <w:rPr>
          <w:rFonts w:ascii="Times New Roman" w:hAnsi="Times New Roman"/>
          <w:b/>
          <w:sz w:val="24"/>
        </w:rPr>
        <w:t>7. AGRADECIMIENTOS</w:t>
      </w:r>
    </w:p>
    <w:p>
      <w:pPr>
        <w:spacing w:line="240" w:lineRule="auto" w:after="120" w:before="0"/>
      </w:pPr>
      <w:r>
        <w:rPr>
          <w:rFonts w:ascii="Times New Roman" w:hAnsi="Times New Roman"/>
          <w:i/>
          <w:sz w:val="24"/>
        </w:rPr>
        <w:t>(Esta sección se incorporará formalmente tras la culminación del proceso de evaluación por pares a doble ciego).</w:t>
      </w:r>
    </w:p>
    <w:p>
      <w:pPr>
        <w:spacing w:before="280" w:after="120"/>
        <w:jc w:val="center"/>
      </w:pPr>
      <w:r>
        <w:rPr>
          <w:rFonts w:ascii="Times New Roman" w:hAnsi="Times New Roman"/>
          <w:b/>
          <w:sz w:val="24"/>
        </w:rPr>
        <w:t>8.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Original - DIFUSIONES</dc:title>
  <dc:subject/>
  <dc:creator/>
  <cp:keywords/>
  <dc:description/>
  <cp:lastModifiedBy/>
  <cp:revision>1</cp:revision>
  <dcterms:created xsi:type="dcterms:W3CDTF">2013-12-23T23:15:00Z</dcterms:created>
  <dcterms:modified xsi:type="dcterms:W3CDTF">2013-12-23T23:15:00Z</dcterms:modified>
  <cp:category/>
</cp:coreProperties>
</file>