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AND A FACULTY PROFESSIONAL DEVELOPMENT EXPERIENCE</w:t>
      </w:r>
    </w:p>
    <w:p>
      <w:pPr>
        <w:pStyle w:val="Heading2"/>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artículo técnico presenta el diseño, implementación y validación preliminar de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analizando las condiciones de transferibilidad técnica en una experiencia de capacitación docente. Metodológicamente, se adoptó un enfoque de Investigación Basada en el Diseño (DBR) estructurado en tres fases: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pilotaje curricular en asignaturas universitarias de programación y ejecución de un taller intensivo de transferencia de diez horas reloj. La cohorte de validación estuvo constituida por 70 participantes sobre 80 personas inscriptas (tasa de asistencia del 87,5 %), integrada por docentes de ingeniería en informática y estudiantes avanzados y graduados de profesorado y licenciatura en informática educativa. La recolección de datos combinó telemetría del repositorio plantilla, registros de ejecución de integración continua en GitHub Actions y notas de campo estructuradas. Los resultados mostraron una participación mayoritaria en el cuestionario web desacoplado; no obstante, únicamente 1 de los 70 participantes completó de forma autónoma el flujo de integración continua durante el taller. Este hallazgo evidencia una pronunciada brecha de instrumentación técnica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pStyle w:val="Heading2"/>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technical paper presents the design, implementation, and preliminary validation of a sociotechnical architecture based on the open standard Model Context Protocol (MCP) and the active Human-in-the-Loop (HITL) principle to assist continuous formative assessment, analyzing its technical transferability conditions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validation cohort comprised 70 attendees out of 80 registered individuals (an 87.5% attendance rate), consisting of computer engineering faculty along with advanced pre-service teachers and recent graduates from educational informatics degree programs. Data collection combined template repository telemetry metrics, continuous integration execution logs on GitHub Actions, and structured qualitative field observation notes. Findings showed majority participation in the decoupled web questionnaire; however, only 1 of the 70 participants autonomously completed the continuous integration pipeline during the workshop.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pStyle w:val="Heading1"/>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artículo técnico tiene como objetivo general: </w:t>
      </w:r>
      <w:r>
        <w:rPr>
          <w:rFonts w:ascii="Times New Roman" w:hAnsi="Times New Roman"/>
          <w:b/>
          <w:sz w:val="24"/>
        </w:rPr>
        <w:t>diseñar, implementar y validar preliminarmente una arquitectura sociotécnica basada en MCP y supervisión docente activa para asistir la evaluación formativa continua en asignaturas universitarias de programación, así como evaluar las condiciones de viabilidad instrumental y adopción técnica de dicha infraestructura en una experiencia piloto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pStyle w:val="Heading1"/>
        <w:spacing w:before="280" w:after="120"/>
        <w:jc w:val="center"/>
      </w:pPr>
      <w:r>
        <w:rPr>
          <w:rFonts w:ascii="Times New Roman" w:hAnsi="Times New Roman"/>
          <w:b/>
          <w:sz w:val="24"/>
        </w:rPr>
        <w:t>2. MÉTODOS</w:t>
      </w:r>
    </w:p>
    <w:p>
      <w:pPr>
        <w:pStyle w:val="Heading2"/>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dificultades identificadas durante el pilotaje curricular permitieron ajustar las restricciones de </w:t>
      </w:r>
      <w:r>
        <w:rPr>
          <w:rFonts w:ascii="Consolas" w:hAnsi="Consolas"/>
          <w:sz w:val="21"/>
        </w:rPr>
        <w:t>AGENTS.md</w:t>
      </w:r>
      <w:r>
        <w:rPr>
          <w:rFonts w:ascii="Times New Roman" w:hAnsi="Times New Roman"/>
          <w:sz w:val="24"/>
        </w:rPr>
        <w:t>, reorganizar las rúbricas y simplificar las plantillas utilizadas posteriormente en el taller. La experiencia de transferencia constituyó, a su vez, una nueva instancia de evaluación del diseño, cuyos resultados fundamentan el desarrollo futuro de interfaces gráficas y rutas de adopción diferenciadas.</w:t>
      </w:r>
    </w:p>
    <w:p>
      <w:pPr>
        <w:pStyle w:val="Heading2"/>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pStyle w:val="Heading2"/>
        <w:spacing w:before="200" w:after="80"/>
        <w:jc w:val="left"/>
      </w:pPr>
      <w:r>
        <w:rPr>
          <w:rFonts w:ascii="Times New Roman" w:hAnsi="Times New Roman"/>
          <w:b/>
          <w:sz w:val="24"/>
        </w:rPr>
        <w:t>2.3. Cohorte de prueba y participantes del taller piloto</w:t>
      </w:r>
    </w:p>
    <w:p>
      <w:pPr>
        <w:spacing w:line="240" w:lineRule="auto" w:after="120" w:before="0"/>
      </w:pPr>
      <w:r>
        <w:rPr>
          <w:rFonts w:ascii="Times New Roman" w:hAnsi="Times New Roman"/>
          <w:sz w:val="24"/>
        </w:rPr>
        <w:t>La convocatoria al taller de capacitación fue abierta, institucional y de carácter voluntario. Para la prueba de campo de la arquitectura se conformó una cohorte no probabilística y autoseleccionada de participantes voluntarios a partir de 80 personas inscriptas, de las cuales 70 asistieron activamente a las sesiones de laboratorio técnico presenciales/sincrónicas (tasa de asistencia del 87,5 %).</w:t>
      </w:r>
    </w:p>
    <w:p>
      <w:pPr>
        <w:spacing w:line="240" w:lineRule="auto" w:after="120" w:before="0"/>
      </w:pPr>
      <w:r>
        <w:rPr>
          <w:rFonts w:ascii="Times New Roman" w:hAnsi="Times New Roman"/>
          <w:sz w:val="24"/>
        </w:rPr>
        <w:t>La cohorte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pStyle w:val="Heading2"/>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pStyle w:val="Heading2"/>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pStyle w:val="Heading2"/>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Registros de integración continua y actividad en repositorios:</w:t>
      </w:r>
      <w:r>
        <w:rPr>
          <w:rFonts w:ascii="Times New Roman" w:hAnsi="Times New Roman"/>
          <w:sz w:val="24"/>
        </w:rPr>
        <w:t xml:space="preserve"> Seguimiento de ejecuciones en GitHub Actions y verificación en aula del acceso, clonación y confirmaciones de cambios (</w:t>
      </w:r>
      <w:r>
        <w:rPr>
          <w:rFonts w:ascii="Times New Roman" w:hAnsi="Times New Roman"/>
          <w:i/>
          <w:sz w:val="24"/>
        </w:rPr>
        <w:t>commits</w:t>
      </w:r>
      <w:r>
        <w:rPr>
          <w:rFonts w:ascii="Times New Roman" w:hAnsi="Times New Roman"/>
          <w:sz w:val="24"/>
        </w:rPr>
        <w:t>) generados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Para el análisis cuantitativo, la unidad de análisis fue cada participante asistente al taller. Para el análisis cualitativo, la unidad de registro estuvo constituida por cada incidencia, consulta o episodio de bloqueo consignado en las notas de campo. Estas frecuencias corresponden a unidades de registro cualitativo y no a participantes únicos, por lo que una misma persona pudo generar más de una incidencia u observación durante las sesiones.</w:t>
      </w:r>
    </w:p>
    <w:p>
      <w:pPr>
        <w:spacing w:line="240" w:lineRule="auto" w:after="120" w:before="0"/>
      </w:pPr>
      <w:r>
        <w:rPr>
          <w:rFonts w:ascii="Times New Roman" w:hAnsi="Times New Roman"/>
          <w:sz w:val="24"/>
        </w:rPr>
        <w:t>La identificación de avances individuales durante el taller se gestionó mediante códigos alfanuméricos temporales en hojas de cotejo observacional en el aula, destruidas tras consolidar las frecuencias agregadas. Para el análisis se registraron exclusivamente frecuencias agregadas de acceso, confirmación y ejecución en GitHub Actions. Aunque la plataforma de control de versiones mostraba identificadores técnicos propios de las cuentas de usuario durante la interacción operativa sincrónica, dichos identificadores no fueron incorporados a la matriz de análisis ni utilizados para asociar resultados o incidencias con participantes individuales.</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mediante codificación inductiva abierta, realizada de manera independiente por dos integrantes del equipo investigador sobre el conjunto completo de notas de campo e incidencias registradas durante ambas jornadas; las discrepancias iniciales de codificación se resolvieron por consenso en sesiones de revisión conjunta hasta consolidar una matriz unificada organizada en los tres patrones temáticos informados.</w:t>
      </w:r>
    </w:p>
    <w:p>
      <w:pPr>
        <w:pStyle w:val="Heading2"/>
        <w:spacing w:before="200" w:after="80"/>
        <w:jc w:val="left"/>
      </w:pPr>
      <w:r>
        <w:rPr>
          <w:rFonts w:ascii="Times New Roman" w:hAnsi="Times New Roman"/>
          <w:b/>
          <w:sz w:val="24"/>
        </w:rPr>
        <w:t>2.7. Resguardo ético y tratamiento de telemetría técnica</w:t>
      </w:r>
    </w:p>
    <w:p>
      <w:pPr>
        <w:spacing w:line="240" w:lineRule="auto" w:after="120" w:before="0"/>
      </w:pPr>
      <w:r>
        <w:rPr>
          <w:rFonts w:ascii="Times New Roman" w:hAnsi="Times New Roman"/>
          <w:sz w:val="24"/>
        </w:rPr>
        <w:t>Al constituir una evaluación técnica de observabilidad y usabilidad de la arquitectura en un taller formativo voluntario, la recolección de datos se limitó a métricas técnicas de ejecución y notas cualitativas estructuradas. Al inicio de los encuentros, se informó oralmente a los asistentes sobre el propósito formativo y analítico de la experiencia, el carácter enteramente voluntario de su intervención y el tratamiento agregado de los registros técnicos generados; no se suscribieron formularios individuales de consentimiento informado ni se recolectaron datos personales sensibles, ni se derivaron consecuencias académicas, laborales ni evaluativas para los participantes. La actividad no contó con evaluación previa ni con una certificación formal de exención emitida por un comité de ética institucional. Esta circunstancia constituye una limitación ética y procedimental del diseño. Antes del envío o publicación definitiva, se solicitará a la autoridad institucional competente un dictamen de encuadre sobre el tratamiento y la difusión de los registros agregados obtenidos.</w:t>
      </w:r>
    </w:p>
    <w:p>
      <w:pPr>
        <w:pStyle w:val="Heading1"/>
        <w:spacing w:before="280" w:after="120"/>
        <w:jc w:val="center"/>
      </w:pPr>
      <w:r>
        <w:rPr>
          <w:rFonts w:ascii="Times New Roman" w:hAnsi="Times New Roman"/>
          <w:b/>
          <w:sz w:val="24"/>
        </w:rPr>
        <w:t>3. RESULTADOS</w:t>
      </w:r>
    </w:p>
    <w:p>
      <w:pPr>
        <w:pStyle w:val="Heading2"/>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La formalización mediante habilidades estructuradas favoreció que los prediagnósticos conservaran una estructura común compuesta por: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pStyle w:val="Heading2"/>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Participación de los asistentes en las actividades técnicas del taller (N = 70)</w:t>
      </w:r>
    </w:p>
    <w:tbl>
      <w:tblPr>
        <w:tblW w:type="auto" w:w="0"/>
        <w:jc w:val="center"/>
        <w:tblLook w:firstColumn="1" w:firstRow="1" w:lastColumn="0" w:lastRow="0" w:noHBand="0" w:noVBand="1" w:val="04A0"/>
      </w:tblPr>
      <w:tblGrid>
        <w:gridCol w:w="2835"/>
        <w:gridCol w:w="2835"/>
        <w:gridCol w:w="2835"/>
      </w:tblGrid>
      <w:t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Actividad o logro observado</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de integración continua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Elaboración propia a partir de los registros de GitHub Actions y de las hojas de cotejo observacional en el aula. Las categorías no representan etapas mutuamente excluyentes ni necesariamente acumulativas. El cuestionario web interactivo también estuvo disponible mediante acceso directo desde el navegador (sin requerir clonación previa del repositorio). Los datos de ejecuciones de integración continua se obtuvieron de los registros de GitHub Actions. El acceso al repositorio, la clonación, la ejecución local de scripts y la realización de confirmaciones de cambios fueron registrados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del taller.</w:t>
      </w:r>
    </w:p>
    <w:p>
      <w:pPr>
        <w:pStyle w:val="Heading2"/>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La categoría de barrera con mayor frecuencia de incidencias registradas en las notas de campo (n = 28 incidencias documentadas) no estuvo vinculada con la comprensión pedagógica de MCP, sino con incidentes instrumentales durante el uso de la terminal: errores en la autenticación de cuentas mediante tokens de acceso personal en GitHub, fallas de sintaxis en comandos de consola (</w:t>
      </w:r>
      <w:r>
        <w:rPr>
          <w:rFonts w:ascii="Consolas" w:hAnsi="Consolas"/>
          <w:sz w:val="21"/>
        </w:rPr>
        <w:t>git commit -m</w:t>
      </w:r>
      <w:r>
        <w:rPr>
          <w:rFonts w:ascii="Times New Roman" w:hAnsi="Times New Roman"/>
          <w:sz w:val="24"/>
        </w:rPr>
        <w:t>) y desorientación ante estados de bifurcación o ramas desacopladas (</w:t>
      </w:r>
      <w:r>
        <w:rPr>
          <w:rFonts w:ascii="Times New Roman" w:hAnsi="Times New Roman"/>
          <w:i/>
          <w:sz w:val="24"/>
        </w:rPr>
        <w:t>detached HEAD</w:t>
      </w:r>
      <w:r>
        <w:rPr>
          <w:rFonts w:ascii="Times New Roman" w:hAnsi="Times New Roman"/>
          <w:sz w:val="24"/>
        </w:rPr>
        <w:t>).</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Se registraron casos reiterados (n = 21 observaciones) de participantes que siguieron las demostraciones del instructor en pantalla, tomaron notas metodológicas y postergaron la configuración en sus propios equipos, manifestando explícitamente su preferencia por diferir la ejecución técnica para una instancia asincrónica posterior sin presión temporal.</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(n = 15 registros positivos) cuando los participantes interactuaron con el cuestionario y los recursos didácticos web locales en HTML/JS. Al no requerir dependencias de compilación ni comandos de consola, estos recursos permitieron a los asistentes validar conceptos algorítmicos y de evaluación sin experimentar bloqueos técnicos.</w:t>
      </w:r>
    </w:p>
    <w:p>
      <w:pPr>
        <w:spacing w:line="240" w:lineRule="auto" w:after="120" w:before="0"/>
      </w:pPr>
      <w:r>
        <w:rPr>
          <w:rFonts w:ascii="Times New Roman" w:hAnsi="Times New Roman"/>
          <w:sz w:val="24"/>
        </w:rPr>
        <w:t>Estos patrones fundamentaron tres necesidades de andamiaje: una ruta preliminar de alfabetización en Git, la disponibilidad de interfaces visuales equivalentes y una secuenciación que permita apropiarse primero de los principios pedagógicos antes de incorporar el flujo técnico completo.</w:t>
      </w:r>
    </w:p>
    <w:p>
      <w:pPr>
        <w:pStyle w:val="Heading1"/>
        <w:spacing w:before="280" w:after="120"/>
        <w:jc w:val="center"/>
      </w:pPr>
      <w:r>
        <w:rPr>
          <w:rFonts w:ascii="Times New Roman" w:hAnsi="Times New Roman"/>
          <w:b/>
          <w:sz w:val="24"/>
        </w:rPr>
        <w:t>4. DISCUSIÓN</w:t>
      </w:r>
    </w:p>
    <w:p>
      <w:pPr>
        <w:pStyle w:val="Heading2"/>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sz w:val="24"/>
        </w:rPr>
        <w:t>El marcado contraste entre la elevada tasa de asistencia de la cohorte (87,5 %) y la baja culminación sincrónica del flujo automatizado en GitHub Actions (1,4 %) constituye el resultado descriptivo más destacado de la experiencia.</w:t>
      </w:r>
    </w:p>
    <w:p>
      <w:pPr>
        <w:spacing w:line="240" w:lineRule="auto" w:after="120" w:before="0"/>
      </w:pPr>
      <w:r>
        <w:rPr>
          <w:rFonts w:ascii="Times New Roman" w:hAnsi="Times New Roman"/>
          <w:sz w:val="24"/>
        </w:rPr>
        <w:t>Los resultados de este estudio sugieren que la incorporación simultánea de herramientas profesionales de integración continua y control de versiones puede introducir una carga instrumental secundaria que compite con los objetivos pedagógicos centrales del taller. Cuando se intenta capacitar en el diseño de agentes de IA y se exige simultáneamente el dominio de flujos completos de Git y terminal, la fricción instrumental puede dificultar la apropiación pedagógica.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pStyle w:val="Heading2"/>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La exigencia protocolizada de vincular cada dictamen a evidencias localizables en el código facilitó la detección docente de afirmaciones erróneas y estableció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w:t>
      </w:r>
    </w:p>
    <w:p>
      <w:pPr>
        <w:pStyle w:val="Heading2"/>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pStyle w:val="Heading2"/>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De manera exploratoria, y sin pretensión de comparación sistemática entre grupos, las notas de campo sugirieron diferencias de énfasis: en las intervenciones de participantes vinculados con ingeniería se registraron consultas relacionadas con el control sintáctico y el aislamiento de entornos, mientras que entre los perfiles de formación pedagógica fueron recurrentes las preguntas sobre rúbricas, lenguaje de retroalimentación y accesibilidad. Integrar ambas miradas resulta relevante para evitar tanto el determinismo técnico como la adopción pedagógica ingenua de la IA.</w:t>
      </w:r>
    </w:p>
    <w:p>
      <w:pPr>
        <w:pStyle w:val="Heading2"/>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Cohorte no probabilística y autoseleccionada:</w:t>
      </w:r>
      <w:r>
        <w:rPr>
          <w:rFonts w:ascii="Times New Roman" w:hAnsi="Times New Roman"/>
          <w:sz w:val="24"/>
        </w:rPr>
        <w:t xml:space="preserve"> La población del taller estuvo conformada por una cohorte no probabilística y autoseleccionada de participantes voluntarios pertenecientes a dos instituciones de una misma región, lo que restringe la generalización de los resultados y refleja la predisposición inicial de quienes respondieron a la convocatoria.</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line="240" w:lineRule="auto" w:after="120" w:before="0"/>
      </w:pPr>
      <w:r>
        <w:rPr>
          <w:rFonts w:ascii="Times New Roman" w:hAnsi="Times New Roman"/>
          <w:sz w:val="24"/>
        </w:rPr>
        <w:t xml:space="preserve">7. </w:t>
      </w:r>
      <w:r>
        <w:rPr>
          <w:rFonts w:ascii="Times New Roman" w:hAnsi="Times New Roman"/>
          <w:b/>
          <w:sz w:val="24"/>
        </w:rPr>
        <w:t>Limitación ética y procedimental:</w:t>
      </w:r>
      <w:r>
        <w:rPr>
          <w:rFonts w:ascii="Times New Roman" w:hAnsi="Times New Roman"/>
          <w:sz w:val="24"/>
        </w:rPr>
        <w:t xml:space="preserve"> Si bien se garantizó la anonimización estricta, la participación voluntaria y la comunicación oral previa de los propósitos formativos y analíticos, la actividad no contó con evaluación previa ni con una certificación formal de exención emitida por un comité de ética institucional. Esta condición constituye una limitación procedimental del diseño. Antes del envío o publicación definitiva, se solicitará a la autoridad institucional competente un dictamen de encuadre sobre el tratamiento y la difusión de los registros agregados obtenidos.</w:t>
      </w:r>
    </w:p>
    <w:p>
      <w:pPr>
        <w:pStyle w:val="Heading1"/>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fundamentación pedagógica preliminar:</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respaldando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pStyle w:val="Heading1"/>
        <w:spacing w:before="280" w:after="120"/>
        <w:jc w:val="center"/>
      </w:pPr>
      <w:r>
        <w:rPr>
          <w:rFonts w:ascii="Times New Roman" w:hAnsi="Times New Roman"/>
          <w:b/>
          <w:sz w:val="24"/>
        </w:rPr>
        <w:t>6. DECLARACIONES OBLIGATORIAS</w:t>
      </w:r>
    </w:p>
    <w:p>
      <w:pPr>
        <w:pStyle w:val="Heading2"/>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pStyle w:val="Heading2"/>
        <w:spacing w:before="200" w:after="80"/>
        <w:jc w:val="left"/>
      </w:pPr>
      <w:r>
        <w:rPr>
          <w:rFonts w:ascii="Times New Roman" w:hAnsi="Times New Roman"/>
          <w:b/>
          <w:sz w:val="24"/>
        </w:rPr>
        <w:t>Declaración sobre el uso de inteligencia artificial</w:t>
      </w:r>
    </w:p>
    <w:p>
      <w:pPr>
        <w:spacing w:line="240" w:lineRule="auto" w:after="120" w:before="0"/>
      </w:pPr>
      <w:r>
        <w:rPr>
          <w:rFonts w:ascii="Times New Roman" w:hAnsi="Times New Roman"/>
          <w:sz w:val="24"/>
        </w:rPr>
        <w:t>Durante la preparación de este trabajo, los autores utilizaron el entorno Antigravity IDE, operando con el modelo Claude 3.7 Sonnet, para asistir en la organización preliminar del texto, la revisión estilística del manuscrito en español y la traducción del resumen al inglés. Los autores revisaron y editaron críticamente el contenido generado o reformulado, verificaron las referencias y los datos informados, y asumen plena responsabilidad por el contenido final de la publicación.</w:t>
      </w:r>
    </w:p>
    <w:p>
      <w:pPr>
        <w:pStyle w:val="Heading2"/>
        <w:spacing w:before="200" w:after="80"/>
        <w:jc w:val="left"/>
      </w:pPr>
      <w:r>
        <w:rPr>
          <w:rFonts w:ascii="Times New Roman" w:hAnsi="Times New Roman"/>
          <w:b/>
          <w:sz w:val="24"/>
        </w:rPr>
        <w:t>Consideraciones sobre el resguardo de datos y consideraciones éticas</w:t>
      </w:r>
    </w:p>
    <w:p>
      <w:pPr>
        <w:spacing w:line="240" w:lineRule="auto" w:after="120" w:before="0"/>
      </w:pPr>
      <w:r>
        <w:rPr>
          <w:rFonts w:ascii="Times New Roman" w:hAnsi="Times New Roman"/>
          <w:sz w:val="24"/>
        </w:rPr>
        <w:t>Al constituir una evaluación técnica de observabilidad y usabilidad de la arquitectura en un taller formativo voluntario, la recolección de datos se limitó a métricas técnicas de ejecución y notas cualitativas estructuradas. Al inicio de los encuentros, se informó oralmente a los asistentes sobre el propósito formativo y analítico de la experiencia, el carácter enteramente voluntario de su intervención y el tratamiento agregado de los registros técnicos generados; no se suscribieron formularios individuales de consentimiento informado ni se recolectaron datos personales sensibles, ni se derivaron consecuencias académicas, laborales ni evaluativas para los participantes. La actividad no contó con evaluación previa ni con una certificación formal de exención emitida por un comité de ética institucional. Esta circunstancia constituye una limitación ética y procedimental del diseño. Antes del envío o publicación definitiva, se solicitará a la autoridad institucional competente un dictamen de encuadre sobre el tratamiento y la difusión de los registros agregados obtenidos.</w:t>
      </w:r>
    </w:p>
    <w:p>
      <w:pPr>
        <w:pStyle w:val="Heading1"/>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Técnico - DIFUSIONES</dc:title>
  <dc:subject/>
  <dc:creator/>
  <cp:keywords/>
  <dc:description/>
  <cp:lastModifiedBy/>
  <cp:revision>1</cp:revision>
  <dcterms:created xsi:type="dcterms:W3CDTF">2013-12-23T23:15:00Z</dcterms:created>
  <dcterms:modified xsi:type="dcterms:W3CDTF">2013-12-23T23:15:00Z</dcterms:modified>
  <cp:category/>
</cp:coreProperties>
</file>