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que 52 de los 70 asistentes (74,3 %) resolvieron el cuestionario web desacoplado; no obstante, únicamente 1 de los 70 participantes completó de forma autónoma el flujo de integración continua durante el horario sincrónico del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that 52 of the 70 attendees (74.3%) completed the decoupled web questionnaire; however, only 1 of the 70 participants autonomously completed the continuous integration pipeline during the synchronous workshop schedule.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rPr>
          <w:cantSplit/>
          <w:tblHeader/>
        </w:trP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rPr>
          <w:cantSplit/>
        </w:trP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sincrónico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del flujo automatizado en GitHub Actions durante el horario sincrónico del taller (1,4 %) constituye el resultado descriptivo más destacado de la experiencia. Conviene precisar que esta métrica refleja estrictamente la finalización autónoma dentro de la ventana horaria presencial del taller, sin indicar que los demás participantes carecieran de la capacidad para completar el proceso en instancias asincrónicas posteriores.</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Limitación ética y procedimental:</w:t>
      </w:r>
      <w:r>
        <w:rPr>
          <w:rFonts w:ascii="Times New Roman" w:hAnsi="Times New Roman"/>
          <w:sz w:val="24"/>
        </w:rPr>
        <w:t xml:space="preserve"> Si bien se garantizó la anonimización estricta, la participación voluntaria y la comunicación oral previa de los propósitos formativos y analíticos, la actividad no contó con evaluación previa ni con una certificación formal de exención emitida por un comité de ética institucional. Esta condición constituye una limitación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