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Quattrocento Sans" w:hAnsi="Quattrocento Sans"/>
          <w:b/>
          <w:i w:val="0"/>
          <w:sz w:val="36"/>
        </w:rPr>
        <w:t>Fase 1: Definição do Projeto</w:t>
      </w:r>
    </w:p>
    <w:p>
      <w:pPr>
        <w:spacing w:after="200"/>
      </w:pPr>
      <w:r>
        <w:rPr>
          <w:rFonts w:ascii="Cambria" w:hAnsi="Cambria"/>
          <w:b w:val="0"/>
          <w:i w:val="0"/>
          <w:sz w:val="24"/>
        </w:rPr>
        <w:t>Tema: Impacto da Geração Distribuída Solar na Tarifa de Energia Elétrica (Conta de Luz) no Brasil</w:t>
      </w:r>
    </w:p>
    <w:p>
      <w:r>
        <w:rPr>
          <w:b/>
          <w:i w:val="0"/>
        </w:rPr>
        <w:t xml:space="preserve">Disciplina: </w:t>
      </w:r>
      <w:r>
        <w:rPr>
          <w:b w:val="0"/>
          <w:i w:val="0"/>
        </w:rPr>
        <w:t>Hands-On Fundamentos de Dados e Analytics, MBA em Engenharia de Dados (Mackenzie)</w:t>
      </w:r>
    </w:p>
    <w:p>
      <w:r>
        <w:rPr>
          <w:b/>
          <w:i w:val="0"/>
        </w:rPr>
        <w:t xml:space="preserve">Data: </w:t>
      </w:r>
      <w:r>
        <w:rPr>
          <w:b w:val="0"/>
          <w:i w:val="0"/>
        </w:rPr>
        <w:t>15/08/2026</w:t>
      </w:r>
    </w:p>
    <w:p>
      <w:r>
        <w:rPr>
          <w:rFonts w:ascii="Cambria" w:hAnsi="Cambria"/>
          <w:b/>
          <w:i w:val="0"/>
        </w:rPr>
        <w:t>1. Definição do problema e escolha do caso de uso</w:t>
      </w:r>
    </w:p>
    <w:p>
      <w:r>
        <w:rPr>
          <w:rFonts w:ascii="Cambria" w:hAnsi="Cambria"/>
          <w:b/>
          <w:i w:val="0"/>
        </w:rPr>
        <w:t>1.1 Contexto (por que o tema é atual)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0"/>
          <w:i w:val="0"/>
        </w:rPr>
        <w:t xml:space="preserve">O Brasil ultrapassou </w:t>
      </w:r>
      <w:r>
        <w:rPr>
          <w:b/>
          <w:i w:val="0"/>
        </w:rPr>
        <w:t>4 milhões de sistemas fotovoltaicos</w:t>
      </w:r>
      <w:r>
        <w:rPr>
          <w:b w:val="0"/>
          <w:i w:val="0"/>
        </w:rPr>
        <w:t xml:space="preserve"> em operação na geração distribuída (GD), somando </w:t>
      </w:r>
      <w:r>
        <w:rPr>
          <w:b/>
          <w:i w:val="0"/>
        </w:rPr>
        <w:t>44,6 GW</w:t>
      </w:r>
      <w:r>
        <w:rPr>
          <w:b w:val="0"/>
          <w:i w:val="0"/>
        </w:rPr>
        <w:t xml:space="preserve"> de potência instalada e beneficiando mais de </w:t>
      </w:r>
      <w:r>
        <w:rPr>
          <w:b/>
          <w:i w:val="0"/>
        </w:rPr>
        <w:t>7,1 milhões de unidades consumidoras</w:t>
      </w:r>
      <w:r>
        <w:rPr>
          <w:b w:val="0"/>
          <w:i w:val="0"/>
        </w:rPr>
        <w:t>, marca atingida em 2026 (</w:t>
      </w:r>
      <w:hyperlink r:id="rId10" w:history="1">
        <w:r>
          <w:rPr>
            <w:rStyle w:val="Hyperlink"/>
          </w:rPr>
          <w:t xml:space="preserve">Canal Solar</w:t>
        </w:r>
      </w:hyperlink>
      <w:r>
        <w:rPr>
          <w:b w:val="0"/>
          <w:i w:val="0"/>
        </w:rPr>
        <w:t xml:space="preserve">, </w:t>
      </w:r>
      <w:hyperlink r:id="rId11" w:history="1">
        <w:r>
          <w:rPr>
            <w:rStyle w:val="Hyperlink"/>
          </w:rPr>
          <w:t xml:space="preserve">PV Magazine Brasil</w:t>
        </w:r>
      </w:hyperlink>
      <w:r>
        <w:rPr>
          <w:b w:val="0"/>
          <w:i w:val="0"/>
        </w:rPr>
        <w:t>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0"/>
          <w:i w:val="0"/>
        </w:rPr>
        <w:t xml:space="preserve">Só no 1º trimestre de 2026 foram conectados </w:t>
      </w:r>
      <w:r>
        <w:rPr>
          <w:b/>
          <w:i w:val="0"/>
        </w:rPr>
        <w:t>2.177 MW</w:t>
      </w:r>
      <w:r>
        <w:rPr>
          <w:b w:val="0"/>
          <w:i w:val="0"/>
        </w:rPr>
        <w:t xml:space="preserve"> em GD solar, com uma média de </w:t>
      </w:r>
      <w:r>
        <w:rPr>
          <w:b/>
          <w:i w:val="0"/>
        </w:rPr>
        <w:t>8,8 mil novos sistemas por dia</w:t>
      </w:r>
      <w:r>
        <w:rPr>
          <w:b w:val="0"/>
          <w:i w:val="0"/>
        </w:rPr>
        <w:t xml:space="preserve"> (</w:t>
      </w:r>
      <w:hyperlink r:id="rId12" w:history="1">
        <w:r>
          <w:rPr>
            <w:rStyle w:val="Hyperlink"/>
          </w:rPr>
          <w:t xml:space="preserve">PV Magazine Brasil</w:t>
        </w:r>
      </w:hyperlink>
      <w:r>
        <w:rPr>
          <w:b w:val="0"/>
          <w:i w:val="0"/>
        </w:rPr>
        <w:t>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0"/>
          <w:i w:val="0"/>
        </w:rPr>
        <w:t>Esse crescimento acelera o debate sobre quem paga a manutenção da rede elétrica (o chamado “Fio B”, regulado pela Lei 14.300) à medida que mais consumidores geram sua própria energia e reduzem o consumo faturado pelas distribuidoras, um problema real de sustentabilidade financeira do setor.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0"/>
          <w:i w:val="0"/>
        </w:rPr>
        <w:t xml:space="preserve">Paralelamente, o valor da conta de luz de quem </w:t>
      </w:r>
      <w:r>
        <w:rPr>
          <w:b/>
          <w:i w:val="0"/>
        </w:rPr>
        <w:t>não</w:t>
      </w:r>
      <w:r>
        <w:rPr>
          <w:b w:val="0"/>
          <w:i w:val="0"/>
        </w:rPr>
        <w:t xml:space="preserve"> tem painel solar depende do acionamento mensal das </w:t>
      </w:r>
      <w:r>
        <w:rPr>
          <w:b/>
          <w:i w:val="0"/>
        </w:rPr>
        <w:t>bandeiras tarifárias</w:t>
      </w:r>
      <w:r>
        <w:rPr>
          <w:b w:val="0"/>
          <w:i w:val="0"/>
        </w:rPr>
        <w:t>, definido pelas condições hidrológicas do Sistema Interligado Nacional (SIN) (</w:t>
      </w:r>
      <w:hyperlink r:id="rId9ge6wka6wjdhtwiay6fsu" w:history="1">
        <w:r>
          <w:rPr>
            <w:rStyle w:val="Hyperlink"/>
          </w:rPr>
          <w:t xml:space="preserve">ANEEL Dados Abertos</w:t>
        </w:r>
      </w:hyperlink>
      <w:r>
        <w:rPr>
          <w:b w:val="0"/>
          <w:i w:val="0"/>
        </w:rPr>
        <w:t>).</w:t>
      </w:r>
    </w:p>
    <w:p>
      <w:r>
        <w:rPr>
          <w:rFonts w:ascii="Cambria" w:hAnsi="Cambria"/>
          <w:b/>
          <w:i w:val="0"/>
        </w:rPr>
        <w:t>1.2 Problema de negócio</w:t>
      </w:r>
    </w:p>
    <w:p>
      <w:r>
        <w:rPr>
          <w:b w:val="0"/>
          <w:i w:val="0"/>
        </w:rPr>
        <w:t>Distribuidoras, reguladores e o próprio consumidor final têm dificuldade em antecipar como a expansão acelerada da geração distribuída solar e as condições hidrológicas do país vão pressionar o valor da tarifa de energia (conta de luz) nos próximos meses e anos, hoje essa leitura é fragmentada entre diferentes fontes e não é combinada de forma sistemática.</w:t>
      </w:r>
    </w:p>
    <w:p>
      <w:r>
        <w:rPr>
          <w:rFonts w:ascii="Cambria" w:hAnsi="Cambria"/>
          <w:b/>
          <w:i w:val="0"/>
        </w:rPr>
        <w:t>1.3 Impacto para o negócio</w:t>
      </w:r>
    </w:p>
    <w:p>
      <w:r>
        <w:rPr>
          <w:b w:val="0"/>
          <w:i w:val="0"/>
        </w:rPr>
        <w:t>A distorção tarifária afeta diretamente o caixa das distribuidoras (que perdem receita de consumidores com GD, mas mantêm o custo fixo da rede) e o bolso dos consumidores sem geração própria, que absorvem parte do custo via bandeiras tarifárias e realocação de tarifas. Sem visibilidade preditiva, decisões de política tarifária e de investimento em energia solar são tomadas de forma reativa.</w:t>
      </w:r>
    </w:p>
    <w:p>
      <w:r>
        <w:rPr>
          <w:rFonts w:ascii="Cambria" w:hAnsi="Cambria"/>
          <w:b/>
          <w:i w:val="0"/>
        </w:rPr>
        <w:t>1.4 Objetivo geral</w:t>
      </w:r>
    </w:p>
    <w:p>
      <w:r>
        <w:rPr>
          <w:b w:val="0"/>
          <w:i w:val="0"/>
        </w:rPr>
        <w:t>Construir um pipeline de dados e um modelo preditivo que relacione a evolução da geração distribuída solar, as condições hidrológicas e a estrutura tarifária das distribuidoras, permitindo antecipar o comportamento da conta de luz no Brasil.</w:t>
      </w:r>
    </w:p>
    <w:p>
      <w:r>
        <w:rPr>
          <w:rFonts w:ascii="Cambria" w:hAnsi="Cambria"/>
          <w:b/>
          <w:i w:val="0"/>
        </w:rPr>
        <w:t>1.5 Objetivos específicos (sugestão de 4)</w:t>
      </w:r>
    </w:p>
    <w:p>
      <w:r>
        <w:rPr>
          <w:b w:val="0"/>
          <w:i w:val="0"/>
        </w:rPr>
        <w:t>1. Consolidar em uma única base histórica o crescimento da geração distribuída solar por estado/região e sua relação com a tarifa (TE/TUSD) praticada pelas distribuidoras locais.</w:t>
      </w:r>
    </w:p>
    <w:p>
      <w:r>
        <w:rPr>
          <w:b w:val="0"/>
          <w:i w:val="0"/>
        </w:rPr>
        <w:t>2. Modelar a relação entre o nível de Energia Natural Afluente (ENA/hidrologia) e o acionamento histórico das bandeiras tarifárias (classificação: verde, amarela, vermelha P1/P2).</w:t>
      </w:r>
    </w:p>
    <w:p>
      <w:r>
        <w:rPr>
          <w:b w:val="0"/>
          <w:i w:val="0"/>
        </w:rPr>
        <w:t>3. Identificar clusters de estados/distribuidoras por perfil de penetração solar versus estrutura tarifária (quem já sente mais impacto da GD na receita).</w:t>
      </w:r>
    </w:p>
    <w:p>
      <w:r>
        <w:rPr>
          <w:b w:val="0"/>
          <w:i w:val="0"/>
        </w:rPr>
        <w:t>4. Construir um dashboard que estime, para os próximos meses, a probabilidade de acionamento de bandeira e a tendência tarifária por região.</w:t>
      </w:r>
    </w:p>
    <w:p>
      <w:r>
        <w:rPr>
          <w:rFonts w:ascii="Cambria" w:hAnsi="Cambria"/>
          <w:b/>
          <w:i w:val="0"/>
        </w:rPr>
        <w:t>1.6 Setor de atuação</w:t>
      </w:r>
    </w:p>
    <w:p>
      <w:r>
        <w:rPr>
          <w:b/>
          <w:i w:val="0"/>
        </w:rPr>
        <w:t>Energia</w:t>
      </w:r>
      <w:r>
        <w:rPr>
          <w:b w:val="0"/>
          <w:i w:val="0"/>
        </w:rPr>
        <w:t xml:space="preserve"> (regulado, setor público-privado); se o formulário do briefing não tiver essa opção nativa, marcar “Outro: Energia”.</w:t>
      </w:r>
    </w:p>
    <w:p>
      <w:r>
        <w:rPr>
          <w:rFonts w:ascii="Cambria" w:hAnsi="Cambria"/>
          <w:b/>
          <w:i w:val="0"/>
        </w:rPr>
        <w:t>2. Seleção e avaliação das bases de dados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864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872"/>
        <w:gridCol w:w="1008"/>
        <w:gridCol w:w="792"/>
        <w:gridCol w:w="1080"/>
        <w:gridCol w:w="1080"/>
        <w:gridCol w:w="1224"/>
        <w:gridCol w:w="1584"/>
      </w:tblGrid>
      <w:tr>
        <w:trPr>
          <w:tblHeader w:val="true"/>
        </w:trPr>
        <w:tc>
          <w:tcPr>
            <w:tcW w:type="dxa" w:w="187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Base</w:t>
            </w:r>
          </w:p>
        </w:tc>
        <w:tc>
          <w:tcPr>
            <w:tcW w:type="dxa" w:w="100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Fonte</w:t>
            </w:r>
          </w:p>
        </w:tc>
        <w:tc>
          <w:tcPr>
            <w:tcW w:type="dxa" w:w="79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Formato</w:t>
            </w:r>
          </w:p>
        </w:tc>
        <w:tc>
          <w:tcPr>
            <w:tcW w:type="dxa" w:w="108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Granularidade</w:t>
            </w:r>
          </w:p>
        </w:tc>
        <w:tc>
          <w:tcPr>
            <w:tcW w:type="dxa" w:w="108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Cobertura temporal</w:t>
            </w:r>
          </w:p>
        </w:tc>
        <w:tc>
          <w:tcPr>
            <w:tcW w:type="dxa" w:w="122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Atualização</w:t>
            </w:r>
          </w:p>
        </w:tc>
        <w:tc>
          <w:tcPr>
            <w:tcW w:type="dxa" w:w="158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Avaliação</w:t>
            </w:r>
          </w:p>
        </w:tc>
      </w:tr>
      <w:tr>
        <w:tc>
          <w:tcPr>
            <w:tcW w:type="dxa" w:w="187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Bandeiras Tarifárias</w:t>
            </w:r>
            <w:r>
              <w:rPr>
                <w:b w:val="0"/>
                <w:i w:val="0"/>
                <w:sz w:val="16"/>
              </w:rPr>
              <w:t xml:space="preserve"> (acionamento, adicional, conta bandeira)</w:t>
            </w:r>
          </w:p>
        </w:tc>
        <w:tc>
          <w:tcPr>
            <w:tcW w:type="dxa" w:w="100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sz w:val="16"/>
              </w:rPr>
            </w:r>
            <w:hyperlink r:id="rId9ge6wka6wjdhtwiay6fsu" w:history="1">
              <w:r>
                <w:rPr>
                  <w:rStyle w:val="Hyperlink"/>
                </w:rPr>
                <w:t xml:space="preserve">ANEEL Dados Abertos</w:t>
              </w:r>
            </w:hyperlink>
          </w:p>
        </w:tc>
        <w:tc>
          <w:tcPr>
            <w:tcW w:type="dxa" w:w="79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CSV + dicionário PDF</w:t>
            </w:r>
          </w:p>
        </w:tc>
        <w:tc>
          <w:tcPr>
            <w:tcW w:type="dxa" w:w="108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Nacional, mensal</w:t>
            </w:r>
          </w:p>
        </w:tc>
        <w:tc>
          <w:tcPr>
            <w:tcW w:type="dxa" w:w="108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Desde jan/2015</w:t>
            </w:r>
          </w:p>
        </w:tc>
        <w:tc>
          <w:tcPr>
            <w:tcW w:type="dxa" w:w="122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Mensal (última atualização: 10/ago/2026)</w:t>
            </w:r>
          </w:p>
        </w:tc>
        <w:tc>
          <w:tcPr>
            <w:tcW w:type="dxa" w:w="158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Boa: série longa e oficial, mas granularidade nacional única, precisa ser enriquecida para gerar features suficientes.</w:t>
            </w:r>
          </w:p>
        </w:tc>
      </w:tr>
      <w:tr>
        <w:tc>
          <w:tcPr>
            <w:tcW w:type="dxa" w:w="187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Relação de Empreendimentos de Geração Distribuída</w:t>
            </w:r>
          </w:p>
        </w:tc>
        <w:tc>
          <w:tcPr>
            <w:tcW w:type="dxa" w:w="100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sz w:val="16"/>
              </w:rPr>
            </w:r>
            <w:hyperlink r:id="rIdvoxkj7heqm8ftrgcgrhqg" w:history="1">
              <w:r>
                <w:rPr>
                  <w:rStyle w:val="Hyperlink"/>
                </w:rPr>
                <w:t xml:space="preserve">ANEEL Dados Abertos</w:t>
              </w:r>
            </w:hyperlink>
          </w:p>
        </w:tc>
        <w:tc>
          <w:tcPr>
            <w:tcW w:type="dxa" w:w="79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 xml:space="preserve">CSV, ZIP e </w:t>
            </w:r>
            <w:r>
              <w:rPr>
                <w:b/>
                <w:i w:val="0"/>
                <w:sz w:val="16"/>
              </w:rPr>
              <w:t>Parquet</w:t>
            </w:r>
            <w:r>
              <w:rPr>
                <w:b w:val="0"/>
                <w:i w:val="0"/>
                <w:sz w:val="16"/>
              </w:rPr>
              <w:t xml:space="preserve"> (já otimizado para big data)</w:t>
            </w:r>
          </w:p>
        </w:tc>
        <w:tc>
          <w:tcPr>
            <w:tcW w:type="dxa" w:w="108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Por empreendimento (potência, fonte, data de conexão)</w:t>
            </w:r>
          </w:p>
        </w:tc>
        <w:tc>
          <w:tcPr>
            <w:tcW w:type="dxa" w:w="108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Desde dez/2008</w:t>
            </w:r>
          </w:p>
        </w:tc>
        <w:tc>
          <w:tcPr>
            <w:tcW w:type="dxa" w:w="122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Diária</w:t>
            </w:r>
          </w:p>
        </w:tc>
        <w:tc>
          <w:tcPr>
            <w:tcW w:type="dxa" w:w="158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Excelente: alto volume (milhões de registros dado o marco de 4M+ sistemas), formato Parquet nativo, atualizado todo dia. Ponto de atenção de governança: avaliar se há identificação de unidade consumidora e, se sim, tratar/agregar por município para reduzir sensibilidade.</w:t>
            </w:r>
          </w:p>
        </w:tc>
      </w:tr>
      <w:tr>
        <w:tc>
          <w:tcPr>
            <w:tcW w:type="dxa" w:w="187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Tarifas Homologadas das Distribuidoras (TE e TUSD)</w:t>
            </w:r>
          </w:p>
        </w:tc>
        <w:tc>
          <w:tcPr>
            <w:tcW w:type="dxa" w:w="100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sz w:val="16"/>
              </w:rPr>
            </w:r>
            <w:hyperlink r:id="rIdp9lmvj4bnk4axiklxd4kx" w:history="1">
              <w:r>
                <w:rPr>
                  <w:rStyle w:val="Hyperlink"/>
                </w:rPr>
                <w:t xml:space="preserve">ANEEL Dados Abertos</w:t>
              </w:r>
            </w:hyperlink>
          </w:p>
        </w:tc>
        <w:tc>
          <w:tcPr>
            <w:tcW w:type="dxa" w:w="79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CSV + XML</w:t>
            </w:r>
          </w:p>
        </w:tc>
        <w:tc>
          <w:tcPr>
            <w:tcW w:type="dxa" w:w="108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Por distribuidora, por processo de reajuste</w:t>
            </w:r>
          </w:p>
        </w:tc>
        <w:tc>
          <w:tcPr>
            <w:tcW w:type="dxa" w:w="108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Histórico dos reajustes tarifários</w:t>
            </w:r>
          </w:p>
        </w:tc>
        <w:tc>
          <w:tcPr>
            <w:tcW w:type="dxa" w:w="122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Conforme homologação da ANEEL</w:t>
            </w:r>
          </w:p>
        </w:tc>
        <w:tc>
          <w:tcPr>
            <w:tcW w:type="dxa" w:w="158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Boa: permite calcular o valor efetivo da conta de luz por distribuidora/região ao longo do tempo.</w:t>
            </w:r>
          </w:p>
        </w:tc>
      </w:tr>
      <w:tr>
        <w:tc>
          <w:tcPr>
            <w:tcW w:type="dxa" w:w="187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ENA Diário por Reservatório / por Bacia</w:t>
            </w:r>
            <w:r>
              <w:rPr>
                <w:b w:val="0"/>
                <w:i w:val="0"/>
                <w:sz w:val="16"/>
              </w:rPr>
              <w:t xml:space="preserve"> (Energia Natural Afluente)</w:t>
            </w:r>
          </w:p>
        </w:tc>
        <w:tc>
          <w:tcPr>
            <w:tcW w:type="dxa" w:w="100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sz w:val="16"/>
              </w:rPr>
            </w:r>
            <w:hyperlink r:id="rIdt078soz010trzxxb3snj1" w:history="1">
              <w:r>
                <w:rPr>
                  <w:rStyle w:val="Hyperlink"/>
                </w:rPr>
                <w:t xml:space="preserve">ONS Dados Abertos</w:t>
              </w:r>
            </w:hyperlink>
          </w:p>
        </w:tc>
        <w:tc>
          <w:tcPr>
            <w:tcW w:type="dxa" w:w="79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CSV, XLSX e Parquet</w:t>
            </w:r>
          </w:p>
        </w:tc>
        <w:tc>
          <w:tcPr>
            <w:tcW w:type="dxa" w:w="108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Diária, por reservatório e por bacia hidroenergética</w:t>
            </w:r>
          </w:p>
        </w:tc>
        <w:tc>
          <w:tcPr>
            <w:tcW w:type="dxa" w:w="108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Desde 2005</w:t>
            </w:r>
          </w:p>
        </w:tc>
        <w:tc>
          <w:tcPr>
            <w:tcW w:type="dxa" w:w="122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Diária</w:t>
            </w:r>
          </w:p>
        </w:tc>
        <w:tc>
          <w:tcPr>
            <w:tcW w:type="dxa" w:w="158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Excelente: é o principal driver técnico por trás do acionamento das bandeiras, combinação direta com a base de bandeiras para a modelagem preditiva.</w:t>
            </w:r>
          </w:p>
        </w:tc>
      </w:tr>
      <w:tr>
        <w:tc>
          <w:tcPr>
            <w:tcW w:type="dxa" w:w="187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(complementar) Malha municipal / população: IBGE</w:t>
            </w:r>
          </w:p>
        </w:tc>
        <w:tc>
          <w:tcPr>
            <w:tcW w:type="dxa" w:w="100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IBGE</w:t>
            </w:r>
          </w:p>
        </w:tc>
        <w:tc>
          <w:tcPr>
            <w:tcW w:type="dxa" w:w="79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CSV/API</w:t>
            </w:r>
          </w:p>
        </w:tc>
        <w:tc>
          <w:tcPr>
            <w:tcW w:type="dxa" w:w="108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Município</w:t>
            </w:r>
          </w:p>
        </w:tc>
        <w:tc>
          <w:tcPr>
            <w:tcW w:type="dxa" w:w="108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Censo/estimativas anuais</w:t>
            </w:r>
          </w:p>
        </w:tc>
        <w:tc>
          <w:tcPr>
            <w:tcW w:type="dxa" w:w="122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Anual</w:t>
            </w:r>
          </w:p>
        </w:tc>
        <w:tc>
          <w:tcPr>
            <w:tcW w:type="dxa" w:w="158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Útil para normalizar penetração de GD per capita por região, se necessário.</w:t>
            </w:r>
          </w:p>
        </w:tc>
      </w:tr>
    </w:tbl>
    <w:p>
      <w:r>
        <w:rPr>
          <w:b/>
          <w:i w:val="0"/>
        </w:rPr>
        <w:t xml:space="preserve">Conclusão da avaliação: </w:t>
      </w:r>
      <w:r>
        <w:rPr>
          <w:b w:val="0"/>
          <w:i w:val="0"/>
        </w:rPr>
        <w:t>as quatro bases principais (bandeiras, GD, tarifas, ENA) são todas públicas, gratuitas, em formatos processáveis (CSV/Parquet), com granularidade diária ou mensal e séries longas o suficiente para modelagem, atendem bem ao requisito de “Big Data Analytics” tanto pelo volume (GD com atualização diária desde 2008) quanto pela necessidade real de integração de múltiplas fontes heterogêneas.</w:t>
      </w:r>
    </w:p>
    <w:p>
      <w:r>
        <w:rPr>
          <w:b/>
          <w:i w:val="0"/>
        </w:rPr>
        <w:t xml:space="preserve">Limitação identificada: </w:t>
      </w:r>
      <w:r>
        <w:rPr>
          <w:b w:val="0"/>
          <w:i w:val="0"/>
        </w:rPr>
        <w:t>as páginas de metadados da ANEEL não expõem publicamente o dicionário de campos nem o volume exato de linhas, isso só é confirmado baixando o arquivo. Recomendo que o grupo baixe uma amostra de cada base já na próxima etapa (avaliação técnica) para validar o schema antes de fechar a arquitetura definitiva.</w:t>
      </w:r>
    </w:p>
    <w:p>
      <w:r>
        <w:rPr>
          <w:rFonts w:ascii="Cambria" w:hAnsi="Cambria"/>
          <w:b/>
          <w:i w:val="0"/>
        </w:rPr>
        <w:t>3. Desenho inicial da arquitetura</w:t>
      </w:r>
    </w:p>
    <w:p>
      <w:r>
        <w:rPr>
          <w:b w:val="0"/>
          <w:i w:val="0"/>
        </w:rPr>
        <w:t>O fluxo de dados segue quatro camadas em sequência, da ingestão até o consumo final em modelagem e dashboard, conforme resumido na tabela abaixo.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864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00"/>
        <w:gridCol w:w="5940"/>
      </w:tblGrid>
      <w:tr>
        <w:trPr>
          <w:tblHeader w:val="true"/>
        </w:trP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rPr>
                <w:b/>
                <w:i w:val="0"/>
              </w:rPr>
              <w:t>Etapa</w:t>
            </w:r>
          </w:p>
        </w:tc>
        <w:tc>
          <w:tcPr>
            <w:tcW w:type="dxa" w:w="59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rPr>
                <w:b/>
                <w:i w:val="0"/>
              </w:rPr>
              <w:t>Descrição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rPr>
                <w:b/>
                <w:i w:val="0"/>
              </w:rPr>
              <w:t>1. Fontes (Ingestão)</w:t>
            </w:r>
          </w:p>
        </w:tc>
        <w:tc>
          <w:tcPr>
            <w:tcW w:type="dxa" w:w="59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rPr>
                <w:b w:val="0"/>
                <w:i w:val="0"/>
              </w:rPr>
              <w:t>ANEEL (Bandeiras, GD, Tarifas) e ONS (ENA), acessadas via download/API em formatos CSV, Parquet e XML.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rPr>
                <w:b/>
                <w:i w:val="0"/>
              </w:rPr>
              <w:t>2. Camada Raw (dados brutos, como estão)</w:t>
            </w:r>
          </w:p>
        </w:tc>
        <w:tc>
          <w:tcPr>
            <w:tcW w:type="dxa" w:w="59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rPr>
                <w:b w:val="0"/>
                <w:i w:val="0"/>
              </w:rPr>
              <w:t>Armazenamento em pasta/bucket organizado por fonte e por data de ingestão (partição diária).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rPr>
                <w:b/>
                <w:i w:val="0"/>
              </w:rPr>
              <w:t>3. Camada Trusted (dados validados)</w:t>
            </w:r>
          </w:p>
        </w:tc>
        <w:tc>
          <w:tcPr>
            <w:tcW w:type="dxa" w:w="59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rPr>
                <w:b w:val="0"/>
                <w:i w:val="0"/>
              </w:rPr>
              <w:t>Limpeza, padronização de tipos e normalização de nomes de campos/UF; junção por data e UF/distribuidora, deduplicação e checagem de qualidade.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rPr>
                <w:b/>
                <w:i w:val="0"/>
              </w:rPr>
              <w:t>4. Camada Curated/Refined (modelo analítico)</w:t>
            </w:r>
          </w:p>
        </w:tc>
        <w:tc>
          <w:tcPr>
            <w:tcW w:type="dxa" w:w="59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rPr>
                <w:b w:val="0"/>
                <w:i w:val="0"/>
              </w:rPr>
              <w:t>Agregações e features; tabela mensal consolidada de UF, tarifa média, penetração solar, ENA e bandeira.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rPr>
                <w:b/>
                <w:i w:val="0"/>
              </w:rPr>
              <w:t>5a. Modelagem (ML)</w:t>
            </w:r>
          </w:p>
        </w:tc>
        <w:tc>
          <w:tcPr>
            <w:tcW w:type="dxa" w:w="59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rPr>
                <w:b w:val="0"/>
                <w:i w:val="0"/>
              </w:rPr>
              <w:t>Classificação de bandeira e clusterização de UF, a partir da camada Curated/Refined.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rPr>
                <w:b/>
                <w:i w:val="0"/>
              </w:rPr>
              <w:t>5b. Dashboard (consumo)</w:t>
            </w:r>
          </w:p>
        </w:tc>
        <w:tc>
          <w:tcPr>
            <w:tcW w:type="dxa" w:w="59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rPr>
                <w:b w:val="0"/>
                <w:i w:val="0"/>
              </w:rPr>
              <w:t>Power BI ou Looker Studio, com visão executiva e regional, também a partir da camada Curated/Refined.</w:t>
            </w:r>
          </w:p>
        </w:tc>
      </w:tr>
    </w:tbl>
    <w:p>
      <w:r>
        <w:rPr>
          <w:b/>
          <w:i w:val="0"/>
        </w:rPr>
        <w:t xml:space="preserve">Governança aplicada: </w:t>
      </w:r>
      <w:r>
        <w:rPr>
          <w:b w:val="0"/>
          <w:i w:val="0"/>
        </w:rPr>
        <w:t>catálogo de dados simples (planilha com fonte, dono, frequência), classificação de sensibilidade da base de GD (avaliar se há UC/CPF/CNPJ e, se houver, mascarar ou agregar por município), e política de acesso básica (camada raw só para o time de dados, curated liberada para todo o grupo).</w:t>
      </w:r>
    </w:p>
    <w:p>
      <w:r>
        <w:rPr>
          <w:rFonts w:ascii="Cambria" w:hAnsi="Cambria"/>
          <w:b/>
          <w:i w:val="0"/>
        </w:rPr>
        <w:t>4. Ferramentas e tecnologias sugeridas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864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00"/>
        <w:gridCol w:w="2600"/>
        <w:gridCol w:w="4540"/>
      </w:tblGrid>
      <w:tr>
        <w:trPr>
          <w:tblHeader w:val="tru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rPr>
                <w:b/>
                <w:i w:val="0"/>
              </w:rPr>
              <w:t>Etapa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rPr>
                <w:b/>
                <w:i w:val="0"/>
              </w:rPr>
              <w:t>Ferramenta sugerida</w:t>
            </w:r>
          </w:p>
        </w:tc>
        <w:tc>
          <w:tcPr>
            <w:tcW w:type="dxa" w:w="45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rPr>
                <w:b/>
                <w:i w:val="0"/>
              </w:rPr>
              <w:t>Por quê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rPr>
                <w:b w:val="0"/>
                <w:i w:val="0"/>
              </w:rPr>
              <w:t>Ingestão/ETL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rPr>
                <w:b/>
                <w:i w:val="0"/>
              </w:rPr>
              <w:t>Python</w:t>
            </w:r>
            <w:r>
              <w:rPr>
                <w:b w:val="0"/>
                <w:i w:val="0"/>
              </w:rPr>
              <w:t xml:space="preserve"> (pandas + requests)</w:t>
            </w:r>
          </w:p>
        </w:tc>
        <w:tc>
          <w:tcPr>
            <w:tcW w:type="dxa" w:w="45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rPr>
                <w:b w:val="0"/>
                <w:i w:val="0"/>
              </w:rPr>
              <w:t>Simples, roda em qualquer máquina do grupo, suficiente para o volume do projeto acadêmico.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rPr>
                <w:b w:val="0"/>
                <w:i w:val="0"/>
              </w:rPr>
              <w:t>Orquestração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rPr>
                <w:b/>
                <w:i w:val="0"/>
              </w:rPr>
              <w:t>Prefect</w:t>
            </w:r>
            <w:r>
              <w:rPr>
                <w:b w:val="0"/>
                <w:i w:val="0"/>
              </w:rPr>
              <w:t xml:space="preserve"> ou scripts agendados (cron)</w:t>
            </w:r>
          </w:p>
        </w:tc>
        <w:tc>
          <w:tcPr>
            <w:tcW w:type="dxa" w:w="45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rPr>
                <w:b w:val="0"/>
                <w:i w:val="0"/>
              </w:rPr>
              <w:t>Evitar Airflow completo a menos que o grupo já tenha familiaridade, pelo custo de setup; foco no tempo do semestre, Airflow é overkill para 4 fontes de dados.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rPr>
                <w:b w:val="0"/>
                <w:i w:val="0"/>
              </w:rPr>
              <w:t>Armazenamento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rPr>
                <w:b/>
                <w:i w:val="0"/>
              </w:rPr>
              <w:t>Parquet local + DuckDB</w:t>
            </w:r>
            <w:r>
              <w:rPr>
                <w:b w:val="0"/>
                <w:i w:val="0"/>
              </w:rPr>
              <w:t xml:space="preserve"> (ou PostgreSQL, se preferirem SQL tradicional)</w:t>
            </w:r>
          </w:p>
        </w:tc>
        <w:tc>
          <w:tcPr>
            <w:tcW w:type="dxa" w:w="45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rPr>
                <w:b w:val="0"/>
                <w:i w:val="0"/>
              </w:rPr>
              <w:t>DuckDB lê Parquet nativamente e é leve, ótimo para simular camadas Raw/Trusted/Curated sem precisar de infraestrutura em nuvem.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rPr>
                <w:b w:val="0"/>
                <w:i w:val="0"/>
              </w:rPr>
              <w:t>Modelagem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rPr>
                <w:b/>
                <w:i w:val="0"/>
              </w:rPr>
              <w:t>Python (scikit-learn)</w:t>
            </w:r>
            <w:r>
              <w:rPr>
                <w:b w:val="0"/>
                <w:i w:val="0"/>
              </w:rPr>
              <w:t>: Árvore de Decisão / Random Forest para classificação da bandeira, K-Means para clusterização de UFs</w:t>
            </w:r>
          </w:p>
        </w:tc>
        <w:tc>
          <w:tcPr>
            <w:tcW w:type="dxa" w:w="45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rPr>
                <w:b w:val="0"/>
                <w:i w:val="0"/>
              </w:rPr>
              <w:t>Alinhado às opções já previstas no briefing do projeto.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rPr>
                <w:b w:val="0"/>
                <w:i w:val="0"/>
              </w:rPr>
              <w:t>Dashboard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rPr>
                <w:b/>
                <w:i w:val="0"/>
              </w:rPr>
              <w:t>Power BI</w:t>
            </w:r>
            <w:r>
              <w:rPr>
                <w:b w:val="0"/>
                <w:i w:val="0"/>
              </w:rPr>
              <w:t xml:space="preserve"> ou </w:t>
            </w:r>
            <w:r>
              <w:rPr>
                <w:b/>
                <w:i w:val="0"/>
              </w:rPr>
              <w:t>Google Looker Studio</w:t>
            </w:r>
            <w:r>
              <w:rPr>
                <w:b w:val="0"/>
                <w:i w:val="0"/>
              </w:rPr>
              <w:t xml:space="preserve"> (gratuito)</w:t>
            </w:r>
          </w:p>
        </w:tc>
        <w:tc>
          <w:tcPr>
            <w:tcW w:type="dxa" w:w="45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rPr>
                <w:b w:val="0"/>
                <w:i w:val="0"/>
              </w:rPr>
              <w:t>Looker Studio é gratuito e conecta direto em CSV/Google Sheets; Power BI é mais robusto se alguém do grupo já tiver licença.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rPr>
                <w:b w:val="0"/>
                <w:i w:val="0"/>
              </w:rPr>
              <w:t>Versionamento/documentação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rPr>
                <w:b/>
                <w:i w:val="0"/>
              </w:rPr>
              <w:t>GitHub</w:t>
            </w:r>
            <w:r>
              <w:rPr>
                <w:b w:val="0"/>
                <w:i w:val="0"/>
              </w:rPr>
              <w:t xml:space="preserve"> (repositório com README, notebooks, código-fonte)</w:t>
            </w:r>
          </w:p>
        </w:tc>
        <w:tc>
          <w:tcPr>
            <w:tcW w:type="dxa" w:w="45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rPr>
                <w:b w:val="0"/>
                <w:i w:val="0"/>
              </w:rPr>
              <w:t>Exigido na seção 9 do briefing.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rPr>
                <w:b w:val="0"/>
                <w:i w:val="0"/>
              </w:rPr>
              <w:t>Gestão do projeto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rPr>
                <w:b/>
                <w:i w:val="0"/>
              </w:rPr>
              <w:t>Trello</w:t>
            </w:r>
            <w:r>
              <w:rPr>
                <w:b w:val="0"/>
                <w:i w:val="0"/>
              </w:rPr>
              <w:t xml:space="preserve"> ou </w:t>
            </w:r>
            <w:r>
              <w:rPr>
                <w:b/>
                <w:i w:val="0"/>
              </w:rPr>
              <w:t>Jira</w:t>
            </w:r>
          </w:p>
        </w:tc>
        <w:tc>
          <w:tcPr>
            <w:tcW w:type="dxa" w:w="45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/>
            <w:r>
              <w:rPr>
                <w:b w:val="0"/>
                <w:i w:val="0"/>
              </w:rPr>
              <w:t>Ver quadro Kanban sugerido na seção seguinte.</w:t>
            </w:r>
          </w:p>
        </w:tc>
      </w:tr>
    </w:tbl>
    <w:p>
      <w:r>
        <w:rPr>
          <w:rFonts w:ascii="Cambria" w:hAnsi="Cambria"/>
          <w:b/>
          <w:i w:val="0"/>
        </w:rPr>
        <w:t>5. Kanban inicial (estrutura sugerida para Trello/Jira)</w:t>
      </w:r>
    </w:p>
    <w:p>
      <w:r>
        <w:rPr>
          <w:b/>
          <w:i w:val="0"/>
        </w:rPr>
        <w:t xml:space="preserve">Colunas: </w:t>
      </w:r>
      <w:r>
        <w:rPr>
          <w:b w:val="0"/>
          <w:i w:val="0"/>
        </w:rPr>
        <w:t>Backlog → A Fazer → Em Andamento → Em Revisão → Concluído</w:t>
      </w:r>
    </w:p>
    <w:p>
      <w:r>
        <w:rPr>
          <w:b/>
          <w:i w:val="0"/>
        </w:rPr>
        <w:t>Cartões da Fase 1 (a mover para “Concluído” ao fechar esta etapa):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0"/>
          <w:i w:val="0"/>
        </w:rPr>
        <w:t>Definir problema de negócio e caso de uso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0"/>
          <w:i w:val="0"/>
        </w:rPr>
        <w:t>Levantar e validar as 4 bases de dados (baixar amostras, checar dicionários)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0"/>
          <w:i w:val="0"/>
        </w:rPr>
        <w:t>Desenhar arquitetura de camadas (raw/trusted/curated)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0"/>
          <w:i w:val="0"/>
        </w:rPr>
        <w:t>Definir stack de ferramentas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0"/>
          <w:i w:val="0"/>
        </w:rPr>
        <w:t>Criar repositório GitHub inicial (README e estrutura de pastas)</w:t>
      </w:r>
    </w:p>
    <w:p>
      <w:r>
        <w:rPr>
          <w:b/>
          <w:i w:val="0"/>
        </w:rPr>
        <w:t>Cartões da Fase 2 (próxima etapa: Ingestão e Preparação):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0"/>
          <w:i w:val="0"/>
        </w:rPr>
        <w:t>Escrever scripts de ingestão (download automatizado ANEEL e ONS)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0"/>
          <w:i w:val="0"/>
        </w:rPr>
        <w:t>Padronizar schemas e nomes de colunas entre fontes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0"/>
          <w:i w:val="0"/>
        </w:rPr>
        <w:t>Implementar camada Trusted (joins por data/UF)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0"/>
          <w:i w:val="0"/>
        </w:rPr>
        <w:t>Documentar dicionário de dados consolidado</w:t>
      </w:r>
    </w:p>
    <w:p>
      <w:r>
        <w:rPr>
          <w:b/>
          <w:i w:val="0"/>
        </w:rPr>
        <w:t>Cartões da Fase 3 (Modelagem e Dashboard):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0"/>
          <w:i w:val="0"/>
        </w:rPr>
        <w:t>EDA (estatística descritiva, correlação ENA x bandeira)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0"/>
          <w:i w:val="0"/>
        </w:rPr>
        <w:t>Treinar modelo de classificação de bandeira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0"/>
          <w:i w:val="0"/>
        </w:rPr>
        <w:t>Treinar clusterização de UFs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0"/>
          <w:i w:val="0"/>
        </w:rPr>
        <w:t>Construir dashboard executivo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0"/>
          <w:i w:val="0"/>
        </w:rPr>
        <w:t>Preparar apresentação final e slides</w:t>
      </w:r>
    </w:p>
    <w:p>
      <w:r>
        <w:rPr>
          <w:b w:val="0"/>
          <w:i/>
        </w:rPr>
        <w:t>O quadro pode ser criado diretamente no Trello ou no Jira, conforme a conta que o grupo conectar.</w:t>
      </w:r>
    </w:p>
    <w:p>
      <w:r>
        <w:rPr>
          <w:rFonts w:ascii="Cambria" w:hAnsi="Cambria"/>
          <w:b/>
          <w:i w:val="0"/>
        </w:rPr>
        <w:t>Fontes consultadas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0"/>
          <w:i w:val="0"/>
        </w:rPr>
        <w:t xml:space="preserve">ANEEL Dados Abertos: Bandeiras Tarifárias: </w:t>
      </w:r>
      <w:hyperlink r:id="rId9ge6wka6wjdhtwiay6fsu" w:history="1">
        <w:r>
          <w:rPr>
            <w:rStyle w:val="Hyperlink"/>
          </w:rPr>
          <w:t xml:space="preserve">https://dadosabertos.aneel.gov.br/dataset/bandeiras-tarifarias</w:t>
        </w:r>
      </w:hyperlink>
    </w:p>
    <w:p>
      <w:pPr>
        <w:pStyle w:val="ListParagraph"/>
        <w:numPr>
          <w:ilvl w:val="0"/>
          <w:numId w:val="2"/>
        </w:numPr>
        <w:spacing w:after="90"/>
      </w:pPr>
      <w:r>
        <w:rPr>
          <w:b w:val="0"/>
          <w:i w:val="0"/>
        </w:rPr>
        <w:t xml:space="preserve">ANEEL Dados Abertos: Geração Distribuída: </w:t>
      </w:r>
      <w:hyperlink r:id="rIdvoxkj7heqm8ftrgcgrhqg" w:history="1">
        <w:r>
          <w:rPr>
            <w:rStyle w:val="Hyperlink"/>
          </w:rPr>
          <w:t xml:space="preserve">https://dadosabertos.aneel.gov.br/dataset/relacao-de-empreendimentos-de-geracao-distribuida</w:t>
        </w:r>
      </w:hyperlink>
    </w:p>
    <w:p>
      <w:pPr>
        <w:pStyle w:val="ListParagraph"/>
        <w:numPr>
          <w:ilvl w:val="0"/>
          <w:numId w:val="2"/>
        </w:numPr>
        <w:spacing w:after="90"/>
      </w:pPr>
      <w:r>
        <w:rPr>
          <w:b w:val="0"/>
          <w:i w:val="0"/>
        </w:rPr>
        <w:t xml:space="preserve">ANEEL Dados Abertos: Tarifas das Distribuidoras: </w:t>
      </w:r>
      <w:hyperlink r:id="rIdp9lmvj4bnk4axiklxd4kx" w:history="1">
        <w:r>
          <w:rPr>
            <w:rStyle w:val="Hyperlink"/>
          </w:rPr>
          <w:t xml:space="preserve">https://dadosabertos.aneel.gov.br/dataset/tarifas-distribuidoras-energia-eletrica</w:t>
        </w:r>
      </w:hyperlink>
    </w:p>
    <w:p>
      <w:pPr>
        <w:pStyle w:val="ListParagraph"/>
        <w:numPr>
          <w:ilvl w:val="0"/>
          <w:numId w:val="2"/>
        </w:numPr>
        <w:spacing w:after="90"/>
      </w:pPr>
      <w:r>
        <w:rPr>
          <w:b w:val="0"/>
          <w:i w:val="0"/>
        </w:rPr>
        <w:t xml:space="preserve">ONS Dados Abertos: ENA Diário por Reservatório: </w:t>
      </w:r>
      <w:hyperlink r:id="rIdt078soz010trzxxb3snj1" w:history="1">
        <w:r>
          <w:rPr>
            <w:rStyle w:val="Hyperlink"/>
          </w:rPr>
          <w:t xml:space="preserve">https://dados.ons.org.br/dataset/ena-diario-por-reservatorio</w:t>
        </w:r>
      </w:hyperlink>
    </w:p>
    <w:p>
      <w:pPr>
        <w:pStyle w:val="ListParagraph"/>
        <w:numPr>
          <w:ilvl w:val="0"/>
          <w:numId w:val="2"/>
        </w:numPr>
        <w:spacing w:after="90"/>
      </w:pPr>
      <w:r>
        <w:rPr>
          <w:b w:val="0"/>
          <w:i w:val="0"/>
        </w:rPr>
        <w:t xml:space="preserve">Canal Solar: Brasil ultrapassa 4 milhões de sistemas de energia solar distribuída: </w:t>
      </w:r>
      <w:hyperlink r:id="rId10" w:history="1">
        <w:r>
          <w:rPr>
            <w:rStyle w:val="Hyperlink"/>
          </w:rPr>
          <w:t xml:space="preserve">https://canalsolar.com.br/brasil-quatro-milhoes-sistemas-energia-solar/</w:t>
        </w:r>
      </w:hyperlink>
    </w:p>
    <w:p>
      <w:pPr>
        <w:pStyle w:val="ListParagraph"/>
        <w:numPr>
          <w:ilvl w:val="0"/>
          <w:numId w:val="2"/>
        </w:numPr>
        <w:spacing w:after="90"/>
      </w:pPr>
      <w:r>
        <w:rPr>
          <w:b w:val="0"/>
          <w:i w:val="0"/>
        </w:rPr>
        <w:t xml:space="preserve">PV Magazine Brasil: Geração distribuída ultrapassa 4 milhões de sistemas: </w:t>
      </w:r>
      <w:hyperlink r:id="rId11" w:history="1">
        <w:r>
          <w:rPr>
            <w:rStyle w:val="Hyperlink"/>
          </w:rPr>
          <w:t xml:space="preserve">https://www.pv-magazine-brasil.com/2026/02/27/geracao-distribuida-ultrapassa-4-milhoes-de-sistemas-no-brasil/</w:t>
        </w:r>
      </w:hyperlink>
    </w:p>
    <w:p>
      <w:pPr>
        <w:pStyle w:val="ListParagraph"/>
        <w:numPr>
          <w:ilvl w:val="0"/>
          <w:numId w:val="2"/>
        </w:numPr>
        <w:spacing w:after="90"/>
      </w:pPr>
      <w:r>
        <w:rPr>
          <w:b w:val="0"/>
          <w:i w:val="0"/>
        </w:rPr>
        <w:t xml:space="preserve">PV Magazine Brasil: Brasil adiciona 4,4 GW de capacidade solar no 1º trimestre: </w:t>
      </w:r>
      <w:hyperlink r:id="rId12" w:history="1">
        <w:r>
          <w:rPr>
            <w:rStyle w:val="Hyperlink"/>
          </w:rPr>
          <w:t xml:space="preserve">https://www.pv-magazine-brasil.com/2026/05/14/brasil-adiciona-44-gw-de-capacidade-solar-no-primeiro-trimestre/</w:t>
        </w:r>
      </w:hyperlink>
    </w:p>
    <w:sectPr>
      <w:headerReference w:type="default" r:id="rId7"/>
      <w:footerReference w:type="default" r:id="rId8"/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/>
  <w:font w:name="Calibri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Página </w:t>
    </w:r>
    <w:r>
      <w:fldChar w:fldCharType="begin"/>
      <w:instrText xml:space="preserve">PAGE</w:instrText>
      <w:fldChar w:fldCharType="separate"/>
      <w:fldChar w:fldCharType="end"/>
    </w:r>
    <w:r>
      <w:t xml:space="preserve"> de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ANEEL, Resolução Normativa nº 1.000/2021, art. 90 (prazo de até 120 dias para conexão de microgeração distribuída), </w:t>
      </w:r>
      <w:hyperlink w:history="1" r:id="rIdqzilpm6t1-rtxspiiinwz">
        <w:r>
          <w:rPr>
            <w:rStyle w:val="Hyperlink"/>
          </w:rPr>
          <w:t xml:space="preserve">gov.br/aneel</w:t>
        </w:r>
      </w:hyperlink>
    </w:p>
  </w:footnote>
  <w:footnote w:id="2">
    <w:p>
      <w:r>
        <w:rPr>
          <w:rStyle w:val="FootnoteReference"/>
        </w:rPr>
        <w:footnoteRef/>
      </w:r>
      <w:r>
        <w:t xml:space="preserve">ANEEL, FAQ Bandeira Escassez Hídrica, </w:t>
      </w:r>
      <w:hyperlink w:history="1" r:id="rIdo8lb3mi7ee0xrn4pykiry">
        <w:r>
          <w:rPr>
            <w:rStyle w:val="Hyperlink"/>
          </w:rPr>
          <w:t xml:space="preserve">gov.br/aneel</w:t>
        </w:r>
      </w:hyperlink>
    </w:p>
  </w:footnote>
  <w:footnote w:id="3">
    <w:p>
      <w:r>
        <w:rPr>
          <w:rStyle w:val="FootnoteReference"/>
        </w:rPr>
        <w:footnoteRef/>
      </w:r>
      <w:r>
        <w:t xml:space="preserve">ANEEL, Bandeiras Tarifárias – dados históricos, </w:t>
      </w:r>
      <w:hyperlink w:history="1" r:id="rIdhh_aoh_nkmy-fylpxfrml">
        <w:r>
          <w:rPr>
            <w:rStyle w:val="Hyperlink"/>
          </w:rPr>
          <w:t xml:space="preserve">dadosabertos.aneel.gov.br</w:t>
        </w:r>
      </w:hyperlink>
    </w:p>
  </w:footnote>
  <w:footnote w:id="4">
    <w:p>
      <w:r>
        <w:rPr>
          <w:rStyle w:val="FootnoteReference"/>
        </w:rPr>
        <w:footnoteRef/>
      </w:r>
      <w:r>
        <w:t xml:space="preserve">ONS, ENA Diário por Subsistema, </w:t>
      </w:r>
      <w:hyperlink w:history="1" r:id="rIddfu_ellqd5ttrwhvmcsai">
        <w:r>
          <w:rPr>
            <w:rStyle w:val="Hyperlink"/>
          </w:rPr>
          <w:t xml:space="preserve">dados.ons.org.br</w:t>
        </w:r>
      </w:hyperlink>
    </w:p>
  </w:footnote>
  <w:footnote w:id="5">
    <w:p>
      <w:r>
        <w:rPr>
          <w:rStyle w:val="FootnoteReference"/>
        </w:rPr>
        <w:footnoteRef/>
      </w:r>
      <w:r>
        <w:t xml:space="preserve">ANEEL, Relação de Empreendimentos de Geração Distribuída, </w:t>
      </w:r>
      <w:hyperlink w:history="1" r:id="rIdjkwuweibyrvyh_aiqlerq">
        <w:r>
          <w:rPr>
            <w:rStyle w:val="Hyperlink"/>
          </w:rPr>
          <w:t xml:space="preserve">dadosabertos.aneel.gov.br</w:t>
        </w:r>
      </w:hyperlink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mbria" w:cs="Cambria" w:eastAsia="Cambria" w:hAnsi="Cambria"/>
        <w:i/>
        <w:iCs/>
        <w:sz w:val="16"/>
        <w:szCs w:val="16"/>
      </w:rPr>
      <w:t>MBA Big Data Analytics, Mackenzie · Fase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mbedTrueTypeFonts w:val="1"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Title">
    <w:name w:val="Title"/>
    <w:basedOn w:val="Normal"/>
    <w:next w:val="Normal"/>
    <w:qFormat/>
    <w:rPr>
      <w:rFonts w:ascii="Quattrocento Sans" w:cs="Quattrocento Sans" w:eastAsia="Quattrocento Sans" w:hAnsi="Quattrocento Sans"/>
      <w:b/>
      <w:bCs/>
      <w:sz w:val="36"/>
      <w:szCs w:val="36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b/>
      <w:bCs/>
      <w:sz w:val="22"/>
      <w:szCs w:val="22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b/>
      <w:bCs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rPr>
      <w:rFonts w:ascii="Cambria" w:cs="Cambria" w:eastAsia="Cambria" w:hAnsi="Cambria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 w:line="276" w:lineRule="auto"/>
      <w:outlineLvl w:val="0"/>
    </w:pPr>
    <w:rPr>
      <w:rFonts w:ascii="Cambria" w:cs="Cambria" w:eastAsia="Cambria" w:hAnsi="Cambria"/>
      <w:b/>
      <w:bCs/>
      <w:sz w:val="22"/>
      <w:szCs w:val="22"/>
    </w:rPr>
  </w:style>
  <w:style w:type="paragraph" w:styleId="Heading2">
    <w:name w:val="Heading 2"/>
    <w:basedOn w:val="Normal"/>
    <w:next w:val="Normal"/>
    <w:qFormat/>
    <w:pPr>
      <w:spacing w:after="200" w:before="0" w:line="276" w:lineRule="auto"/>
      <w:outlineLvl w:val="1"/>
    </w:pPr>
    <w:rPr>
      <w:rFonts w:ascii="Cambria" w:cs="Cambria" w:eastAsia="Cambria" w:hAnsi="Cambria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var1nkwl5ual-gt2ezhig" Type="http://schemas.openxmlformats.org/officeDocument/2006/relationships/hyperlink" Target="https://github.com/FabioFumioWada/MACK_MBA_Eng_Dados_TurmaG_Energia_Solar" TargetMode="External"/><Relationship Id="rId9ge6wka6wjdhtwiay6fsu" Type="http://schemas.openxmlformats.org/officeDocument/2006/relationships/hyperlink" Target="https://dadosabertos.aneel.gov.br/dataset/bandeiras-tarifarias" TargetMode="External"/><Relationship Id="rIdvoxkj7heqm8ftrgcgrhqg" Type="http://schemas.openxmlformats.org/officeDocument/2006/relationships/hyperlink" Target="https://dadosabertos.aneel.gov.br/dataset/relacao-de-empreendimentos-de-geracao-distribuida" TargetMode="External"/><Relationship Id="rIdljulcuqbjvu9o-znrd-i0" Type="http://schemas.openxmlformats.org/officeDocument/2006/relationships/hyperlink" Target="https://dados.ons.org.br/dataset/ena-diario-por-subsistema" TargetMode="External"/><Relationship Id="rIdt078soz010trzxxb3snj1" Type="http://schemas.openxmlformats.org/officeDocument/2006/relationships/hyperlink" Target="https://dados.ons.org.br/dataset/ena-diario-por-reservatorio" TargetMode="External"/><Relationship Id="rIdp9lmvj4bnk4axiklxd4kx" Type="http://schemas.openxmlformats.org/officeDocument/2006/relationships/hyperlink" Target="https://dadosabertos.aneel.gov.br/dataset/tarifas-distribuidoras-energia-eletrica" TargetMode="External"/><Relationship Id="rIdkef3ds0-_jiyrczdrmmns" Type="http://schemas.openxmlformats.org/officeDocument/2006/relationships/hyperlink" Target="https://www.gov.br/aneel/pt-br/assuntos/noticias/2022/faq-tire-suas-duvidas-sobre-a-bandeira-escassez-hidrica" TargetMode="External"/><Relationship Id="rIdipczepny76qeiabazc6-a" Type="http://schemas.openxmlformats.org/officeDocument/2006/relationships/hyperlink" Target="https://www.gov.br/aneel/pt-br/assuntos/geracao-distribuida" TargetMode="External"/><Relationship Id="rIdjwftg8e0rnz0rybex8jwn" Type="http://schemas.openxmlformats.org/officeDocument/2006/relationships/hyperlink" Target="https://www.epe.gov.br/pt/publicacoes-dados-abertos/publicacoes/anuario-estatistico-de-energia-eletrica" TargetMode="External"/><Relationship Id="rId67nftl5juk51dstavgo2b" Type="http://schemas.openxmlformats.org/officeDocument/2006/relationships/hyperlink" Target="https://github.com/FabioFumioWada/MACK_MBA_Eng_Dados_TurmaG_Energia_Solar" TargetMode="External"/><Relationship Id="rId9" Type="http://schemas.openxmlformats.org/officeDocument/2006/relationships/image" Target="media/9f50b2f8cea02e51eaed76f670e8da67ec6320c6.png"/><Relationship Id="rId20" Type="http://schemas.openxmlformats.org/officeDocument/2006/relationships/fontTable" Target="fontTable.xml"/><Relationship Id="rId10" Type="http://schemas.openxmlformats.org/officeDocument/2006/relationships/hyperlink" Target="https://canalsolar.com.br/brasil-quatro-milhoes-sistemas-energia-solar/" TargetMode="External"/><Relationship Id="rId11" Type="http://schemas.openxmlformats.org/officeDocument/2006/relationships/hyperlink" Target="https://www.pv-magazine-brasil.com/2026/02/27/geracao-distribuida-ultrapassa-4-milhoes-de-sistemas-no-brasil/" TargetMode="External"/><Relationship Id="rId12" Type="http://schemas.openxmlformats.org/officeDocument/2006/relationships/hyperlink" Target="https://www.pv-magazine-brasil.com/2026/05/14/brasil-adiciona-44-gw-de-capacidade-solar-no-primeiro-trimestre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footnotes.xml.rels><?xml version='1.0' encoding='UTF-8' standalone='yes'?>
<Relationships xmlns="http://schemas.openxmlformats.org/package/2006/relationships"><Relationship Id="rIdqzilpm6t1-rtxspiiinwz" Type="http://schemas.openxmlformats.org/officeDocument/2006/relationships/hyperlink" Target="https://www.gov.br/aneel/pt-br/assuntos/geracao-distribuida" TargetMode="External"/><Relationship Id="rIdo8lb3mi7ee0xrn4pykiry" Type="http://schemas.openxmlformats.org/officeDocument/2006/relationships/hyperlink" Target="https://www.gov.br/aneel/pt-br/assuntos/noticias/2022/faq-tire-suas-duvidas-sobre-a-bandeira-escassez-hidrica" TargetMode="External"/><Relationship Id="rIdhh_aoh_nkmy-fylpxfrml" Type="http://schemas.openxmlformats.org/officeDocument/2006/relationships/hyperlink" Target="https://dadosabertos.aneel.gov.br/dataset/bandeiras-tarifarias" TargetMode="External"/><Relationship Id="rIddfu_ellqd5ttrwhvmcsai" Type="http://schemas.openxmlformats.org/officeDocument/2006/relationships/hyperlink" Target="https://dados.ons.org.br/dataset/ena-diario-por-subsistema" TargetMode="External"/><Relationship Id="rIdjkwuweibyrvyh_aiqlerq" Type="http://schemas.openxmlformats.org/officeDocument/2006/relationships/hyperlink" Target="https://dadosabertos.aneel.gov.br/dataset/relacao-de-empreendimentos-de-geracao-distribuida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2026-08-21T00:58:57.939Z</dcterms:created>
  <dcterms:modified xsi:type="dcterms:W3CDTF">2026-08-21T00:58:57.939Z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