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Quattrocento Sans" w:cs="Quattrocento Sans" w:eastAsia="Quattrocento Sans" w:hAnsi="Quattrocento Sans"/>
          <w:b/>
          <w:bCs/>
          <w:sz w:val="36"/>
          <w:szCs w:val="36"/>
        </w:rPr>
        <w:t xml:space="preserve">Bandeira Tarifária no Brasil: Antecipando o Risco para o Consumidor</w:t>
      </w:r>
    </w:p>
    <w:p>
      <w:pPr>
        <w:spacing w:after="400"/>
      </w:pPr>
      <w:r>
        <w:rPr>
          <w:rFonts w:ascii="Cambria" w:cs="Cambria" w:eastAsia="Cambria" w:hAnsi="Cambria"/>
          <w:sz w:val="24"/>
          <w:szCs w:val="24"/>
        </w:rPr>
        <w:t>Fase 2: Sprint 2: Modelagem de Dados, Análise Exploratória e Pipeline CI/CD (escopo: Brasil)</w:t>
      </w:r>
    </w:p>
    <w:p>
      <w:r>
        <w:rPr>
          <w:rFonts w:ascii="Cambria" w:cs="Cambria" w:eastAsia="Cambria" w:hAnsi="Cambria"/>
          <w:b/>
          <w:bCs/>
        </w:rPr>
        <w:t xml:space="preserve">1. Objetivo do projeto (consolidado)</w:t>
      </w:r>
    </w:p>
    <w:p>
      <w:pPr>
        <w:spacing w:after="160"/>
      </w:pPr>
      <w:r>
        <w:t>A dor que o projeto resolve não é “prever a bandeira” em si, é dar ao consumidor visibilidade antecipada de quanto a bandeira tarifária do próximo trimestre vai pesar na conta de luz, e quanto ter energia solar reduziria esse impacto, para que ele decida investir (ou não) em solar antes do aumento chegar, e não depois.</w:t>
      </w:r>
    </w:p>
    <w:p>
      <w:pPr>
        <w:spacing w:after="160"/>
      </w:pPr>
      <w:r>
        <w:t>A instalação de energia solar residencial no Brasil leva, em média, 30 a 90 dias entre a contratação e a homologação da injeção pela distribuidora, a ANEEL, pela Resolução Normativa 1.000/2021, estabelece até 120 dias como prazo máximo para o início da injeção em microgeração.</w:t>
      </w:r>
      <w:r>
        <w:rPr>
          <w:rStyle w:val="FootnoteReference"/>
        </w:rPr>
      </w:r>
    </w:p>
    <w:p>
      <w:pPr>
        <w:spacing w:after="160"/>
      </w:pPr>
      <w:r>
        <w:t>Um trimestre (~90 dias) é, portanto, quase exatamente o tempo necessário entre a decisão de instalar e o sistema efetivamente ligado. Se o modelo aponta alta chance de bandeira vermelha no trimestre seguinte, ainda existe uma janela real de ação, não é apenas um aviso, é tempo suficiente para agir antes do aumento bater na conta. Hoje essa informação está fragmentada (ANEEL de um lado, ONS de outro, sem cruzamento sistemático); este projeto é a primeira vez que os dois lados são unidos de forma estruturada para essa finalidade.</w:t>
      </w:r>
    </w:p>
    <w:p>
      <w:r>
        <w:rPr>
          <w:rFonts w:ascii="Cambria" w:cs="Cambria" w:eastAsia="Cambria" w:hAnsi="Cambria"/>
          <w:b/>
          <w:bCs/>
        </w:rPr>
        <w:t xml:space="preserve">2. Escopo e janela temporal da análise</w:t>
      </w:r>
    </w:p>
    <w:p>
      <w:pPr>
        <w:spacing w:after="160"/>
      </w:pPr>
      <w:r>
        <w:t xml:space="preserve">Escopo geográfico: Brasil inteiro (Sistema Interligado Nacional). A bandeira tarifária é definida mensalmente de forma uniforme para todo o SIN (exceto sistemas isolados), o que torna o recorte nacional não só viável, como mais representativo do que um recorte estadual.</w:t>
      </w:r>
    </w:p>
    <w:p>
      <w:pPr>
        <w:spacing w:after="160"/>
      </w:pPr>
      <w:r>
        <w:rPr>
          <w:b/>
          <w:bCs/>
        </w:rPr>
        <w:t>Janela temporal: decisão fundamentada em dados reais (140 meses de histórico, jan/2015 a ago/2026):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0"/>
        <w:gridCol w:w="1160"/>
        <w:gridCol w:w="1160"/>
        <w:gridCol w:w="1160"/>
        <w:gridCol w:w="1160"/>
        <w:gridCol w:w="1160"/>
        <w:gridCol w:w="116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Janela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Meses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Verde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Amarela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Verm. P1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Verm. P2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Escassez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Últimos 12 meses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33,3%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41,7%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16,7%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8,3%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0%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Últimos 24 meses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37,5%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29,2%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20,8%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12,5%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0%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Últimos 36 meses (janela adotada)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36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55,6%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22,2%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13,9%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8,3%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0%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Histórico completo (2015–2026)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140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47,9%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17,1%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18,6%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10,7%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5,7%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Achado-chave: a bandeira Escassez Hídrica foi uma medida excepcional e única (criada em set/2021, extinta em abr/2022, sem previsão de reativação sob as regras atuais), por isso não aparece em nenhuma janela recente e é tratada como evento histórico isolado, fora do alvo de classificação corrente.</w:t>
      </w:r>
      <w:r/>
      <w:r>
        <w:rPr>
          <w:rStyle w:val="FootnoteReference"/>
        </w:rPr>
      </w:r>
      <w:r/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Decisão adotada:  Modelo preditivo (previsão do próximo trimestre) treinado sobre os últimos 3 anos (36 meses / 12 trimestres), conforme orientação do professor, pois reflete o regime tarifário e o patamar de energia solar atuais.</w:t>
      </w:r>
      <w:r/>
    </w:p>
    <w:p>
      <w:pPr>
        <w:pStyle w:val="ListParagraph"/>
        <w:numPr>
          <w:ilvl w:val="0"/>
          <w:numId w:val="2"/>
        </w:numPr>
        <w:spacing w:after="90"/>
      </w:pPr>
      <w:r>
        <w:t>Sazonalidade (comparação do mesmo mês entre anos anteriores) calculada sobre o histórico completo (2015–2026), 11,7 anos dão uma base estatística muito mais robusta que 3 anos para esse tipo de comparação.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Validação cruzada de regime: </w:t>
      </w:r>
      <w:r>
        <w:t xml:space="preserve"> o histórico completo também é usado como conjunto de validação/stress-test do modelo treinado na janela de 3 anos, reforçando a robustez da escolha para a banca.</w:t>
      </w:r>
    </w:p>
    <w:p>
      <w:r>
        <w:rPr>
          <w:rFonts w:ascii="Cambria" w:cs="Cambria" w:eastAsia="Cambria" w:hAnsi="Cambria"/>
          <w:b/>
          <w:bCs/>
        </w:rPr>
        <w:t xml:space="preserve">3. Bases de dados utilizadas (Brasil, verificadas)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Bandeira Tarifária (ANEEL)</w:t>
      </w:r>
      <w:r>
        <w:rPr>
          <w:rStyle w:val="FootnoteReference"/>
        </w:rPr>
        <w:footnoteReference w:id="3"/>
      </w:r>
      <w:r>
        <w:t xml:space="preserve">: 140 meses (jan/2015–ago/2026). Distribuição completa: Verde 47,9% (67 meses), Vermelha P1 18,6% (26), Amarela 17,1% (24), Vermelha P2 10,7% (15), Escassez Hídrica 5,7% (8).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ENA: Energia Natural Afluente (ONS): diário por subsistema (Norte, Nordeste, Sudeste/CO, Sul), 2015–2026, agregado a % da MLT (Média de Longo Termo) mensal, nacional e por subsistema.</w:t>
      </w:r>
      <w:r>
        <w:rPr>
          <w:rStyle w:val="FootnoteReference"/>
        </w:rPr>
      </w:r>
      <w:r/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Geração Distribuída Solar (ANEEL)</w:t>
      </w:r>
      <w:r>
        <w:rPr>
          <w:rStyle w:val="FootnoteReference"/>
        </w:rPr>
        <w:footnoteReference w:id="5"/>
      </w:r>
      <w:r>
        <w:t xml:space="preserve">: registro nacional de geração distribuída fotovoltaica (UFV): 4.461.968 empreendimentos válidos, 48.776,9 MW de potência instalada acumulada (ago/2026).</w:t>
      </w:r>
    </w:p>
    <w:p>
      <w:r>
        <w:rPr>
          <w:rFonts w:ascii="Cambria" w:cs="Cambria" w:eastAsia="Cambria" w:hAnsi="Cambria"/>
          <w:b/>
          <w:bCs/>
        </w:rPr>
        <w:t>3.1 Aderência ao que foi planejado na Fase 1, o que mudou e o que falta</w:t>
      </w:r>
    </w:p>
    <w:p>
      <w:pPr>
        <w:spacing w:after="160"/>
      </w:pPr>
      <w:r>
        <w:t>Resposta direta à pergunta “são todas as bases que listamos?”: não exatamente: duas das quatro bases principais da Fase 1 sofreram ajuste, listados abaixo com justificativa técnica: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200"/>
        <w:gridCol w:w="1300"/>
        <w:gridCol w:w="1500"/>
        <w:gridCol w:w="4360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Base (planejada na Fase 1)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Fonte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Bandeiras Tarifárias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ANEEL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Usada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140 meses (jan/2015–ago/2026), nacional, sem alteração de escopo frente à Fase 1.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Relação de Empreendimentos de Geração Distribuída (Solar)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ANEEL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Usada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4.461.968 registros nacionais válidos; sem alteração de escopo frente à Fase 1.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ENA Diário por Reservatório/Bacia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ONS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Substituída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Trocada por ENA Diário por Subsistema (mesma fonte ONS). Justificativa na seção 3.1.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Tarifas Homologadas das Distribuidoras (TE/TUSD)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ANEEL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Não incorporada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Ainda não entrou no painel Refined da Sprint 2. Justificativa e plano na seção 3.1.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>IBGE: malha municipal/população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IBGE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Descartada (era opcional)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Marcada como complementar/opcional já na Fase 1; não necessária no recorte nacional agregado.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Por que ENA por Subsistema em vez de por Reservatório/Bacia:  a bandeira tarifária e o PLD/CMO (que definem o acionamento da bandeira) são calculados pelo ONS/CCEE por submercado (Norte, Nordeste, Sudeste/Centro-Oeste, Sul), não por reservatório individual. Usar ENA por subsistema alinha a granularidade do dado de entrada com a granularidade real da decisão que o modelo tenta prever, além de já vir pré-agregada pelo ONS, reduzindo uma etapa de processamento sem perder informação relevante.</w:t>
      </w:r>
      <w:r/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Por que TE/TUSD ainda não entrou:  a base de TE/TUSD é essencial para simular a conta de luz individual do consumidor (Fase 3, “quanto eu economizaria com solar”), mas não é necessária para prever a bandeira em si, que é o alvo de classificação desta Sprint 2. Está mantida no roadmap: entra na Sprint 3 junto com o cálculo do indicador de economia por consumidor.</w:t>
      </w:r>
      <w:r/>
    </w:p>
    <w:p>
      <w:r>
        <w:rPr>
          <w:rFonts w:ascii="Cambria" w:cs="Cambria" w:eastAsia="Cambria" w:hAnsi="Cambria"/>
          <w:b/>
          <w:bCs/>
        </w:rPr>
        <w:t xml:space="preserve">4. Análise exploratória inicial (EDA)</w:t>
      </w:r>
    </w:p>
    <w:p>
      <w:r>
        <w:rPr>
          <w:rFonts w:ascii="Cambria" w:cs="Cambria" w:eastAsia="Cambria" w:hAnsi="Cambria"/>
          <w:b/>
          <w:bCs/>
        </w:rPr>
        <w:t xml:space="preserve">4.1 Estatística descritiva</w:t>
      </w:r>
    </w:p>
    <w:p>
      <w:pPr>
        <w:spacing w:after="160"/>
      </w:pPr>
      <w:r>
        <w:t>O painel mensal nacional consolidado (bandeira x ENA x potência solar) cobre 140 meses sem lacunas. A distribuição da bandeira por ano mostra dois regimes bem distintos: anos de estresse hídrico com 8+ meses em bandeira vermelha ou pior (2015, 2021) e anos de conforto hídrico com 8+ meses em bandeira verde (2020, 2023). A potência solar acumulada cresceu de praticamente zero em 2015 para 48.776,9 MW em ago/2026, com o ritmo de novas conexões mensais desacelerando nos últimos meses do gráfico, atenção: os 2 últimos meses do dataset (jul/ago 2026) tendem a estar subcontados por atraso de cadastro na base da ANEEL, não por queda real de mercado.</w:t>
      </w:r>
    </w:p>
    <w:p>
      <w:r>
        <w:rPr>
          <w:rFonts w:ascii="Cambria" w:cs="Cambria" w:eastAsia="Cambria" w:hAnsi="Cambria"/>
          <w:b/>
          <w:bCs/>
        </w:rPr>
        <w:t xml:space="preserve">4.2 Correlações (nível da bandeira x indicadores)</w:t>
      </w:r>
    </w:p>
    <w:p>
      <w:pPr>
        <w:spacing w:after="160"/>
      </w:pPr>
      <w:r>
        <w:t>Sobre o nível bruto da série (0=Verde a 4=Escassez), a correlação com ENA nacional é fraca e negativa (r = -0,10), direção esperada (menos chuva, bandeira mais cara), mas fraca porque a bandeira responde a limiares de custo marginal (PLD/CMO), não linearmente ao volume de chuva. Sobre a variação mês a mês (removendo tendência conjunta), a correlação entre nível da bandeira e crescimento percentual do solar no mês foi de r = +0,12, direção contraintuitiva e estatisticamente fraca, o que é o resultado mais honesto e relevante da EDA: no nível agregado nacional, o crescimento do solar ainda não é grande o suficiente para se mostrar como driver isolado do acionamento da bandeira; o driver dominante continua sendo a hidrologia (ENA). Isso reforça o objetivo do projeto: a relevância do solar está na decisão individual do consumidor frente ao risco de bandeira, não (ainda) em um efeito macro mensurável na própria bandeira.</w:t>
      </w:r>
    </w:p>
    <w:p>
      <w:r>
        <w:rPr>
          <w:rFonts w:ascii="Cambria" w:cs="Cambria" w:eastAsia="Cambria" w:hAnsi="Cambria"/>
          <w:b/>
          <w:bCs/>
        </w:rPr>
        <w:t xml:space="preserve">4.3 Protótipo do dashboard / gráficos</w:t>
      </w:r>
    </w:p>
    <w:p>
      <w:pPr>
        <w:spacing w:after="160"/>
      </w:pPr>
      <w:r>
        <w:t xml:space="preserve">Painel com 5 visões: (1) linha do tempo completa da bandeira por cor, (2) ENA nacional em % da MLT, (3) curva de potência solar acumulada, (4) meses por cor de bandeira por ano, e (5) correlações do nível da bandeira com os principais indicadores.</w:t>
      </w:r>
    </w:p>
    <w:p>
      <w:pPr>
        <w:spacing w:after="200"/>
        <w:jc w:val="center"/>
      </w:pPr>
      <w:r>
        <w:drawing>
          <wp:inline distT="0" distB="0" distL="0" distR="0">
            <wp:extent cx="5334000" cy="4191000"/>
            <wp:effectExtent t="0" r="0" b="0" l="0"/>
            <wp:docPr id="1" name="dashboard-eda" descr="Painel com bandeira tarifária, ENA, solar e correlações" title="Dashboard EDA nac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Cambria" w:cs="Cambria" w:eastAsia="Cambria" w:hAnsi="Cambria"/>
          <w:b/>
          <w:bCs/>
        </w:rPr>
        <w:t xml:space="preserve">5. Modelagem de camadas de dados (Raw / Trusted / Refined)</w:t>
      </w:r>
    </w:p>
    <w:p>
      <w:pPr>
        <w:spacing w:after="160"/>
      </w:pPr>
      <w:r>
        <w:t>Arquitetura adaptada para escopo nacional: mesmas três camadas da Fase 1, agora consolidando as três fontes (bandeira, ENA, solar) em um único painel Refined: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300"/>
        <w:gridCol w:w="2600"/>
        <w:gridCol w:w="2860"/>
        <w:gridCol w:w="2600"/>
      </w:tblGrid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Camada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Conteúdo (escopo Brasil)</w:t>
            </w:r>
          </w:p>
        </w:tc>
        <w:tc>
          <w:tcPr>
            <w:tcW w:type="dxa" w:w="2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Formato / Local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Atualização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Raw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Arquivos brutos, sem transformação: bandeira_acionamento.csv (ANEEL), ENA_DIARIO_SUBSISTEMA_{ano}.csv (ONS), empreendimento-geracao-distribuida.csv (ANEEL GD nacional)</w:t>
            </w:r>
          </w:p>
        </w:tc>
        <w:tc>
          <w:tcPr>
            <w:tcW w:type="dxa" w:w="2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CSV/ZIP originais, em Unity Catalog Volume (/Volumes/raw/energia_br/)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Mensal (bandeira e GD) / Diária (ENA)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Trusted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Dados limpos e tipados: decimal BR convertido (vírgula→ponto), datas parseadas, nível ordinal da bandeira (0–4), UF/subsistema padronizados, duplicatas removidas</w:t>
            </w:r>
          </w:p>
        </w:tc>
        <w:tc>
          <w:tcPr>
            <w:tcW w:type="dxa" w:w="2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Delta Table (bandeira_trusted, ena_trusted, gd_solar_trusted)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Job incremental (append/merge por partição de mês)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Refined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Painel mensal nacional único: bandeira x ENA (nacional e por subsistema) x potência solar acumulada/nova, e agregado trimestral (para o modelo de previsão)</w:t>
            </w:r>
          </w:p>
        </w:tc>
        <w:tc>
          <w:tcPr>
            <w:tcW w:type="dxa" w:w="2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Delta Table (painel_mensal_nacional, painel_trimestral_nacional)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Recalculado a cada carga do Trusted</w:t>
            </w:r>
          </w:p>
        </w:tc>
      </w:tr>
    </w:tbl>
    <w:p>
      <w:pPr>
        <w:spacing w:after="200"/>
      </w:pPr>
    </w:p>
    <w:p>
      <w:r>
        <w:rPr>
          <w:rFonts w:ascii="Cambria" w:cs="Cambria" w:eastAsia="Cambria" w:hAnsi="Cambria"/>
          <w:b/>
          <w:bCs/>
        </w:rPr>
        <w:t xml:space="preserve">6. Pipeline CI/CD e infraestrutura como código</w:t>
      </w:r>
    </w:p>
    <w:p>
      <w:pPr>
        <w:spacing w:after="160"/>
      </w:pPr>
      <w:r>
        <w:t xml:space="preserve">Recomendação: Databricks Community/Free Edition + Unity Catalog (Volumes para Raw, Delta Tables para Trusted/Refined) + GitHub para versionamento + GitHub Actions para CI/CD, com Databricks Asset Bundles como infraestrutura como código (YAML declarativo, sem necessidade de provisionar servidores como em uma stack AWS/EC2/Terraform tradicional):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Etapa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Ferramenta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O que faz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Versionamento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Git + GitHub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Repositório único com scripts de ingestão (Raw), transformação (Trusted) e agregação (Refined), notebooks e Databricks Asset Bundle (YAML)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Infra como código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Databricks Asset Bundles (databricks.yml)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>Define jobs, clusters, permissões e caminhos de Volumes/Tabelas como código versionado, deploy idêntico em dev/prod sem clicar na UI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CI (integração)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GitHub Actions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Em cada push/PR: lint + testes unitários dos scripts de transformação (ex.: conversão decimal BR, mapeamento de nível de bandeira) via pytest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CD (deploy)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GitHub Actions + Databricks CLI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Após merge na main: databricks bundle deploy publica os jobs atualizados no workspace Databricks (Community/Free Edition)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Execução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Databricks Jobs (agendado)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Job mensal: baixa CSVs novos da ANEEL/ONS → grava Raw (Volume) → atualiza Trusted (Delta) → recalcula Refined (painel mensal/trimestral)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Observabilidade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Databricks Job Runs + alertas por e-mail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Falha na ingestão (ex.: layout de coluna mudou) dispara alerta antes de contaminar o Refined</w:t>
            </w:r>
          </w:p>
        </w:tc>
      </w:tr>
    </w:tbl>
    <w:p>
      <w:pPr>
        <w:spacing w:after="200"/>
      </w:pPr>
    </w:p>
    <w:p>
      <w:pPr>
        <w:spacing w:after="160"/>
      </w:pPr>
      <w:r>
        <w:t>Por que Databricks + GitHub Actions em vez de AWS/EC2/Terraform: o Databricks Free/Community Edition já provê o cluster gerenciado, o Unity Catalog e o agendador de jobs sem custo de infraestrutura para o projeto acadêmico; o Asset Bundle cumpre o mesmo papel do Terraform (infra declarativa versionada) com uma curva de configuração muito menor. É possível subir arquivo (CSV/Parquet) direto em um Volume sem vinculá-lo a uma tabela, o que preserva a camada Raw fiel ao dado bruto antes de qualquer transformação.</w:t>
      </w:r>
    </w:p>
    <w:p>
      <w:r>
        <w:rPr>
          <w:rFonts w:ascii="Cambria" w:cs="Cambria" w:eastAsia="Cambria" w:hAnsi="Cambria"/>
          <w:b/>
          <w:bCs/>
        </w:rPr>
        <w:t xml:space="preserve">7. Databricks: mais anos de histórico é viável? E se ficarmos só nos últimos 3 anos?</w:t>
      </w:r>
    </w:p>
    <w:p>
      <w:pPr>
        <w:spacing w:after="160"/>
      </w:pPr>
      <w:r>
        <w:t>Sim, é viável: e não custa nada extra. O painel Refined final é uma tabela agregada minúscula: 140 linhas mensais x 14 colunas, ou 47 linhas trimestrais. Guardar 3, 11 ou 20 anos de histórico nesse formato representa alguns KB, muito abaixo de qualquer limite de armazenamento ou de cota de cluster do Databricks Community/Free Edition. O mesmo vale para o Raw/Trusted: os arquivos brutos (bandeira, ENA, GD solar) somam poucas centenas de MB mesmo cobrindo 2015–2026 inteiro. Ou seja: a escolha da janela temporal é uma decisão estatística/metodológica, nunca uma restrição de infraestrutura.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Decisão mantida nesta Sprint 2:  o modelo preditivo (classificador do próximo trimestre) usa apenas os últimos 3 anos (36 meses / 12 trimestres), conforme orientação do professor, porque reflete o regime tarifário e o patamar de energia solar atuais, mas o histórico completo (140 meses) continua carregado no Raw/Trusted e é usado para sazonalidade e como conjunto de validação/stress-test do modelo. Essa combinação já captura o melhor dos dois mundos sem custo adicional.</w:t>
      </w:r>
      <w:r/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Se limitássemos tudo a 3 anos (dados e modelo):  a implementação ficaria mais simples (menos dados para carregar/versionar), mas perderíamos: (1) a base sazonal de 11,7 anos usada para comparar o mesmo mês entre anos diferentes, com só 3 anos restam apenas 3 repetições por mês, insuficiente para separar sazonalidade real de ruído; e (2) o teste de estresse de regime, que hoje valida o modelo contra a crise hídrica de 2015 e 2021, sem esse período no dado, não haveria como responder à banca “esse modelo funcionaria numa seca como a de 2021?”. Por isso a recomendação é manter o histórico completo no Raw/Trusted mesmo treinando o modelo só nos últimos 3 anos.</w:t>
      </w:r>
      <w:r/>
    </w:p>
    <w:p>
      <w:r>
        <w:rPr>
          <w:rFonts w:ascii="Cambria" w:cs="Cambria" w:eastAsia="Cambria" w:hAnsi="Cambria"/>
          <w:b/>
          <w:bCs/>
        </w:rPr>
        <w:t xml:space="preserve">8. Passo a passo para replicar a análise</w:t>
      </w:r>
    </w:p>
    <w:p>
      <w:pPr>
        <w:spacing w:after="160"/>
      </w:pPr>
      <w:r>
        <w:t xml:space="preserve">Sequência exata usada para gerar todos os números e gráficos desta Sprint 2, para qualquer integrante do grupo reproduzir do zero (e para responder “como vocês fizeram” à banca):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1. Download das bases brutas: </w:t>
      </w:r>
      <w:r>
        <w:t xml:space="preserve">Bandeiras Tarifárias (nota 3)</w:t>
      </w:r>
      <w:r>
        <w:t xml:space="preserve"> (bandeira_acionamento.csv, bandeira_adicional.csv, bandeira_conta.csv), ENA Diário por Subsistema (nota 4)</w:t>
      </w:r>
      <w:r>
        <w:t xml:space="preserve"> (um CSV por ano, 2015–2026) e Relação de Empreendimentos de Geração Distribuída (nota 5)</w:t>
      </w:r>
      <w:r>
        <w:t xml:space="preserve"> (ZIP nacional, filtrado para fonte fotovoltaica/UFV).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2. Limpeza e agregação mensal (Trusted): </w:t>
      </w:r>
      <w:r>
        <w:t xml:space="preserve"> script eda_nacional.py corrige o decimal brasileiro (vírgula → ponto) em potencia_kw, converte datas, mapeia a bandeira para um nível ordinal (Verde=0, Amarela=1, Vermelha P1=2, Vermelha P2=3, Escassez Hídrica=4) e agrega cada base ao nível mensal, gravando bandeira_mensal.parquet, ena_mensal.parquet e solar_mensal_nacional.parquet.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3. Consolidação em painel único (Refined): </w:t>
      </w:r>
      <w:r>
        <w:t xml:space="preserve"> script eda_correlacao.py une os três parquets por mês em painel_mensal_nacional.csv (140 meses) e gera a agregação trimestral painel_trimestral_nacional.csv (47 trimestres); em seguida calcula as correlações entre nível da bandeira, ENA e crescimento solar reportadas na seção 4.2.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4. Visualização: </w:t>
      </w:r>
      <w:r>
        <w:t xml:space="preserve"> script dashboard_eda.py lê o painel mensal consolidado e gera o painel de 5 gráficos (dashboard_eda_nacional.png) usando a paleta de cores do projeto.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5. Onde isso roda: </w:t>
      </w:r>
      <w:r>
        <w:t xml:space="preserve"> hoje os 3 scripts rodam localmente (Python 3.11 + pandas + matplotlib), o que basta para a Sprint 2. Em produção, os mesmos scripts viram jobs Databricks (Raw → Trusted → Refined) agendados e implantados via Databricks Asset Bundle + GitHub Actions, conforme descrito na seção 6.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6. Reprodutibilidade: </w:t>
      </w:r>
      <w:r>
        <w:t xml:space="preserve"> os 3 scripts (eda_nacional.py, eda_correlacao.py, dashboard_eda.py), os CSVs consolidados (painel_mensal_nacional.csv, painel_trimestral_nacional.csv) e este documento devem ser versionados no repositório GitHub do grupo (seção 9) para qualquer integrante reproduzir os resultados sem depender de arquivos avulsos.</w:t>
      </w:r>
    </w:p>
    <w:p>
      <w:r>
        <w:rPr>
          <w:rFonts w:ascii="Cambria" w:cs="Cambria" w:eastAsia="Cambria" w:hAnsi="Cambria"/>
          <w:b/>
          <w:bCs/>
        </w:rPr>
        <w:t xml:space="preserve">9. Databricks e repositório GitHub do grupo</w:t>
      </w:r>
    </w:p>
    <w:p>
      <w:pPr>
        <w:spacing w:after="160"/>
      </w:pPr>
      <w:r>
        <w:t xml:space="preserve">Repositório Git conectado: </w:t>
      </w:r>
      <w:hyperlink w:history="1" r:id="rIdvar1nkwl5ual-gt2ezhig">
        <w:r>
          <w:rPr>
            <w:rStyle w:val="Hyperlink"/>
          </w:rPr>
          <w:t xml:space="preserve">github.com/FabioFumioWada/MACK_MBA_Eng_Dados_TurmaG_Energia_Solar</w:t>
        </w:r>
      </w:hyperlink>
      <w:r>
        <w:t>, clonado dentro do Databricks Repos em /Users/tati.s-a@hotmail.com/MACK_MBA_Eng_Dados_TurmaG_Energia_Solar/. Estrutura de pastas já criada e populada diretamente no workspace Databricks:</w:t>
      </w:r>
    </w:p>
    <w:p>
      <w:pPr>
        <w:pStyle w:val="ListParagraph"/>
        <w:numPr>
          <w:ilvl w:val="0"/>
          <w:numId w:val="2"/>
        </w:numPr>
        <w:spacing w:after="90"/>
      </w:pPr>
      <w:r>
        <w:t>/raw: arquivos brutos sem transformação: bandeira_acionamento.csv, bandeira_adicional.csv (ANEEL).</w:t>
      </w:r>
    </w:p>
    <w:p>
      <w:pPr>
        <w:pStyle w:val="ListParagraph"/>
        <w:numPr>
          <w:ilvl w:val="0"/>
          <w:numId w:val="2"/>
        </w:numPr>
        <w:spacing w:after="90"/>
      </w:pPr>
      <w:r>
        <w:t>/trusted: eda_nacional.py (limpeza, tipagem, nível ordinal da bandeira).</w:t>
      </w:r>
    </w:p>
    <w:p>
      <w:pPr>
        <w:pStyle w:val="ListParagraph"/>
        <w:numPr>
          <w:ilvl w:val="0"/>
          <w:numId w:val="2"/>
        </w:numPr>
        <w:spacing w:after="90"/>
      </w:pPr>
      <w:r>
        <w:t>/refined: eda_correlacao.py + painel_mensal_nacional.csv + painel_trimestral_nacional.csv (painel consolidado).</w:t>
      </w:r>
    </w:p>
    <w:p>
      <w:pPr>
        <w:pStyle w:val="ListParagraph"/>
        <w:numPr>
          <w:ilvl w:val="0"/>
          <w:numId w:val="2"/>
        </w:numPr>
        <w:spacing w:after="90"/>
      </w:pPr>
      <w:r>
        <w:t>/dashboards: dashboard_eda.py e Dashboard_EDA_Nacional.xlsx (painel Excel editável com gráficos nativos).</w:t>
      </w:r>
    </w:p>
    <w:p>
      <w:pPr>
        <w:pStyle w:val="ListParagraph"/>
        <w:numPr>
          <w:ilvl w:val="0"/>
          <w:numId w:val="2"/>
        </w:numPr>
        <w:spacing w:after="90"/>
      </w:pPr>
      <w:r>
        <w:t>/databricks: databricks.yml (Asset Bundle) com a definição do job agendado Raw → Trusted → Refined.</w:t>
      </w:r>
    </w:p>
    <w:p>
      <w:pPr>
        <w:pStyle w:val="ListParagraph"/>
        <w:numPr>
          <w:ilvl w:val="0"/>
          <w:numId w:val="2"/>
        </w:numPr>
        <w:spacing w:after="90"/>
      </w:pPr>
      <w:r>
        <w:t>README.md: atualizado com a descrição do projeto e da estrutura de pastas, mantendo os nomes originais dos integrantes.</w:t>
      </w:r>
    </w:p>
    <w:p>
      <w:pPr>
        <w:spacing w:after="160"/>
      </w:pPr>
      <w:r>
        <w:t>Status do GitHub: como o Databricks Repos está conectado ao repositório Git, os arquivos já existem no workspace, mas ainda precisam ser sincronizados para o GitHub, isso exige um commit + push feito por alguém do grupo direto na aba Repos do Databricks (botão “Git” no canto superior direito do navegador de arquivos), pois a integração de GitHub não está disponível para automação externa nesta sessão. Depois do push, o repositório GitHub deixa de ter apenas o README e passa a refletir a mesma estrutura /raw /trusted /refined /dashboards /databricks.</w:t>
      </w:r>
    </w:p>
    <w:p>
      <w:r>
        <w:rPr>
          <w:rFonts w:ascii="Cambria" w:cs="Cambria" w:eastAsia="Cambria" w:hAnsi="Cambria"/>
          <w:b/>
          <w:bCs/>
        </w:rPr>
        <w:t>10. Kanban: Sprint 2 (18/08 a 24/08)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Concluído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Em andamento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A fazer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Escopo Brasil confirmado (Tema A)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Storytelling/pitch da solução para a banca (janela de decisão de ~90 dias)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Prototipagem do modelo classificador (próximo trimestre)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Base ANEEL (bandeira, 2015–2026, 140 meses) coletada e validada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Definição de features derivadas (lags de ENA, sazonalidade mensal)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Setup real do workspace Databricks + GitHub Actions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Base ONS (ENA diária por subsistema, 2015–2026) coletada e agregada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Redação da seção metodológica (janela de 3 anos vs. histórico completo)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Testes automatizados dos scripts de transformação (pytest)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Base ANEEL GD Solar (4,46M registros, nacional) coletada e corrigida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Validação cruzada e métricas de acurácia do modelo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Painel mensal/trimestral consolidado (bandeira x ENA x solar)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Dashboard final interativo (Fase 3)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Análise exploratória inicial (estatística descritiva e correlações)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Protótipo do dashboard/gráficos da EDA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Modelagem Raw/Trusted/Refined (escopo Brasil)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Proposta de pipeline CI/CD + IaC (Databricks + GitHub Actions)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/>
            </w:r>
          </w:p>
        </w:tc>
      </w:tr>
    </w:tbl>
    <w:p>
      <w:r>
        <w:rPr>
          <w:rFonts w:ascii="Cambria" w:cs="Cambria" w:eastAsia="Cambria" w:hAnsi="Cambria"/>
          <w:b/>
          <w:bCs/>
        </w:rPr>
        <w:t xml:space="preserve">11. Próximos passos (Sprint 3)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Treinar o classificador de bandeira do próximo trimestre com feature engineering (lags de ENA, dummies de sazonalidade mensal, penetração solar acumulada) sobre a janela de 3 anos.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Validar o modelo contra o histórico completo (11,7 anos) como stress-test de regime.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Incorporar a base de Tarifas Homologadas (TE/TUSD) para calcular a economia estimada por consumidor com solar.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Calcular o indicador de decisão para o consumidor (probabilidade de bandeira alta no próximo trimestre x economia estimada com solar) integrado ao pipeline Refined.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Implementar de fato o ambiente Databricks + GitHub Actions descrito na seção 6, e estruturar o repositório GitHub conforme seção 9.</w:t>
      </w:r>
    </w:p>
    <w:p>
      <w:r>
        <w:rPr>
          <w:rFonts w:ascii="Cambria" w:cs="Cambria" w:eastAsia="Cambria" w:hAnsi="Cambria"/>
          <w:b/>
          <w:bCs/>
        </w:rPr>
        <w:t xml:space="preserve">12. Referências bibliográficas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ANEEL: Bandeiras Tarifárias (dados abertos): </w:t>
      </w:r>
      <w:hyperlink w:history="1" r:id="rId9ge6wka6wjdhtwiay6fsu">
        <w:r>
          <w:rPr>
            <w:rStyle w:val="Hyperlink"/>
          </w:rPr>
          <w:t xml:space="preserve">https://dadosabertos.aneel.gov.br/dataset/bandeiras-tarifarias</w:t>
        </w:r>
      </w:hyperlink>
    </w:p>
    <w:p>
      <w:pPr>
        <w:pStyle w:val="ListParagraph"/>
        <w:numPr>
          <w:ilvl w:val="0"/>
          <w:numId w:val="2"/>
        </w:numPr>
        <w:spacing w:after="90"/>
      </w:pPr>
      <w:r>
        <w:t xml:space="preserve">ANEEL: Relação de Empreendimentos de Geração Distribuída: </w:t>
      </w:r>
      <w:hyperlink w:history="1" r:id="rIdvoxkj7heqm8ftrgcgrhqg">
        <w:r>
          <w:rPr>
            <w:rStyle w:val="Hyperlink"/>
          </w:rPr>
          <w:t xml:space="preserve">https://dadosabertos.aneel.gov.br/dataset/relacao-de-empreendimentos-de-geracao-distribuida</w:t>
        </w:r>
      </w:hyperlink>
    </w:p>
    <w:p>
      <w:pPr>
        <w:pStyle w:val="ListParagraph"/>
        <w:numPr>
          <w:ilvl w:val="0"/>
          <w:numId w:val="2"/>
        </w:numPr>
        <w:spacing w:after="90"/>
      </w:pPr>
      <w:r>
        <w:t xml:space="preserve">ONS: ENA Diário por Subsistema: </w:t>
      </w:r>
      <w:hyperlink w:history="1" r:id="rIdljulcuqbjvu9o-znrd-i0">
        <w:r>
          <w:rPr>
            <w:rStyle w:val="Hyperlink"/>
          </w:rPr>
          <w:t xml:space="preserve">https://dados.ons.org.br/dataset/ena-diario-por-subsistema</w:t>
        </w:r>
      </w:hyperlink>
    </w:p>
    <w:p>
      <w:pPr>
        <w:pStyle w:val="ListParagraph"/>
        <w:numPr>
          <w:ilvl w:val="0"/>
          <w:numId w:val="2"/>
        </w:numPr>
        <w:spacing w:after="90"/>
      </w:pPr>
      <w:r>
        <w:t xml:space="preserve">ONS: ENA Diário por Reservatório/Bacia (planejada na Fase 1, substituída, ver seção 3.1): </w:t>
      </w:r>
      <w:hyperlink w:history="1" r:id="rIdt078soz010trzxxb3snj1">
        <w:r>
          <w:rPr>
            <w:rStyle w:val="Hyperlink"/>
          </w:rPr>
          <w:t xml:space="preserve">https://dados.ons.org.br/dataset/ena-diario-por-reservatorio</w:t>
        </w:r>
      </w:hyperlink>
    </w:p>
    <w:p>
      <w:pPr>
        <w:pStyle w:val="ListParagraph"/>
        <w:numPr>
          <w:ilvl w:val="0"/>
          <w:numId w:val="2"/>
        </w:numPr>
        <w:spacing w:after="90"/>
      </w:pPr>
      <w:r>
        <w:t xml:space="preserve">ANEEL: Tarifas Homologadas das Distribuidoras (TE/TUSD) (planejada na Fase 1, pendente, ver seção 3.1): </w:t>
      </w:r>
      <w:hyperlink w:history="1" r:id="rIdp9lmvj4bnk4axiklxd4kx">
        <w:r>
          <w:rPr>
            <w:rStyle w:val="Hyperlink"/>
          </w:rPr>
          <w:t xml:space="preserve">https://dadosabertos.aneel.gov.br/dataset/tarifas-distribuidoras-energia-eletrica</w:t>
        </w:r>
      </w:hyperlink>
    </w:p>
    <w:p>
      <w:pPr>
        <w:pStyle w:val="ListParagraph"/>
        <w:numPr>
          <w:ilvl w:val="0"/>
          <w:numId w:val="2"/>
        </w:numPr>
        <w:spacing w:after="90"/>
      </w:pPr>
      <w:r>
        <w:t xml:space="preserve">ANEEL: FAQ Bandeira Escassez Hídrica: </w:t>
      </w:r>
      <w:hyperlink w:history="1" r:id="rIdkef3ds0-_jiyrczdrmmns">
        <w:r>
          <w:rPr>
            <w:rStyle w:val="Hyperlink"/>
          </w:rPr>
          <w:t xml:space="preserve">https://www.gov.br/aneel/pt-br/assuntos/noticias/2022/faq-tire-suas-duvidas-sobre-a-bandeira-escassez-hidrica</w:t>
        </w:r>
      </w:hyperlink>
    </w:p>
    <w:p>
      <w:pPr>
        <w:pStyle w:val="ListParagraph"/>
        <w:numPr>
          <w:ilvl w:val="0"/>
          <w:numId w:val="2"/>
        </w:numPr>
        <w:spacing w:after="90"/>
      </w:pPr>
      <w:r>
        <w:t xml:space="preserve">ANEEL: Resolução Normativa nº 1.000/2021 (Geração Distribuída: prazos de conexão): </w:t>
      </w:r>
      <w:hyperlink w:history="1" r:id="rIdipczepny76qeiabazc6-a">
        <w:r>
          <w:rPr>
            <w:rStyle w:val="Hyperlink"/>
          </w:rPr>
          <w:t xml:space="preserve">https://www.gov.br/aneel/pt-br/assuntos/geracao-distribuida</w:t>
        </w:r>
      </w:hyperlink>
    </w:p>
    <w:p>
      <w:pPr>
        <w:pStyle w:val="ListParagraph"/>
        <w:numPr>
          <w:ilvl w:val="0"/>
          <w:numId w:val="2"/>
        </w:numPr>
        <w:spacing w:after="90"/>
      </w:pPr>
      <w:r>
        <w:t xml:space="preserve">EPE: Anuário Estatístico de Energia Elétrica 2025: </w:t>
      </w:r>
      <w:hyperlink w:history="1" r:id="rIdjwftg8e0rnz0rybex8jwn">
        <w:r>
          <w:rPr>
            <w:rStyle w:val="Hyperlink"/>
          </w:rPr>
          <w:t xml:space="preserve">https://www.epe.gov.br/pt/publicacoes-dados-abertos/publicacoes/anuario-estatistico-de-energia-eletrica</w:t>
        </w:r>
      </w:hyperlink>
    </w:p>
    <w:p>
      <w:pPr>
        <w:pStyle w:val="ListParagraph"/>
        <w:numPr>
          <w:ilvl w:val="0"/>
          <w:numId w:val="2"/>
        </w:numPr>
        <w:spacing w:after="90"/>
      </w:pPr>
      <w:r>
        <w:t xml:space="preserve">Repositório GitHub do grupo: </w:t>
      </w:r>
      <w:hyperlink w:history="1" r:id="rId67nftl5juk51dstavgo2b">
        <w:r>
          <w:rPr>
            <w:rStyle w:val="Hyperlink"/>
          </w:rPr>
          <w:t xml:space="preserve">https://github.com/FabioFumioWada/MACK_MBA_Eng_Dados_TurmaG_Energia_Solar</w:t>
        </w:r>
      </w:hyperlink>
    </w:p>
    <w:sectPr>
      <w:headerReference w:type="default" r:id="rId7"/>
      <w:footerReference w:type="default" r:id="rId8"/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/>
  <w:font w:name="Calibri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Página </w:t>
    </w:r>
    <w:r>
      <w:fldChar w:fldCharType="begin"/>
      <w:instrText xml:space="preserve">PAGE</w:instrText>
      <w:fldChar w:fldCharType="separate"/>
      <w:fldChar w:fldCharType="end"/>
    </w:r>
    <w:r>
      <w:t xml:space="preserve"> de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ANEEL, Resolução Normativa nº 1.000/2021, art. 90 (prazo de até 120 dias para conexão de microgeração distribuída), </w:t>
      </w:r>
      <w:hyperlink w:history="1" r:id="rIdqzilpm6t1-rtxspiiinwz">
        <w:r>
          <w:rPr>
            <w:rStyle w:val="Hyperlink"/>
          </w:rPr>
          <w:t xml:space="preserve">gov.br/aneel</w:t>
        </w:r>
      </w:hyperlink>
    </w:p>
  </w:footnote>
  <w:footnote w:id="2">
    <w:p>
      <w:r>
        <w:rPr>
          <w:rStyle w:val="FootnoteReference"/>
        </w:rPr>
        <w:footnoteRef/>
      </w:r>
      <w:r>
        <w:t xml:space="preserve">ANEEL, FAQ Bandeira Escassez Hídrica, </w:t>
      </w:r>
      <w:hyperlink w:history="1" r:id="rIdo8lb3mi7ee0xrn4pykiry">
        <w:r>
          <w:rPr>
            <w:rStyle w:val="Hyperlink"/>
          </w:rPr>
          <w:t xml:space="preserve">gov.br/aneel</w:t>
        </w:r>
      </w:hyperlink>
    </w:p>
  </w:footnote>
  <w:footnote w:id="3">
    <w:p>
      <w:r>
        <w:rPr>
          <w:rStyle w:val="FootnoteReference"/>
        </w:rPr>
        <w:footnoteRef/>
      </w:r>
      <w:r>
        <w:t xml:space="preserve">ANEEL, Bandeiras Tarifárias – dados históricos, </w:t>
      </w:r>
      <w:hyperlink w:history="1" r:id="rIdhh_aoh_nkmy-fylpxfrml">
        <w:r>
          <w:rPr>
            <w:rStyle w:val="Hyperlink"/>
          </w:rPr>
          <w:t xml:space="preserve">dadosabertos.aneel.gov.br</w:t>
        </w:r>
      </w:hyperlink>
    </w:p>
  </w:footnote>
  <w:footnote w:id="4">
    <w:p>
      <w:r>
        <w:rPr>
          <w:rStyle w:val="FootnoteReference"/>
        </w:rPr>
        <w:footnoteRef/>
      </w:r>
      <w:r>
        <w:t xml:space="preserve">ONS, ENA Diário por Subsistema, </w:t>
      </w:r>
      <w:hyperlink w:history="1" r:id="rIddfu_ellqd5ttrwhvmcsai">
        <w:r>
          <w:rPr>
            <w:rStyle w:val="Hyperlink"/>
          </w:rPr>
          <w:t xml:space="preserve">dados.ons.org.br</w:t>
        </w:r>
      </w:hyperlink>
    </w:p>
  </w:footnote>
  <w:footnote w:id="5">
    <w:p>
      <w:r>
        <w:rPr>
          <w:rStyle w:val="FootnoteReference"/>
        </w:rPr>
        <w:footnoteRef/>
      </w:r>
      <w:r>
        <w:t xml:space="preserve">ANEEL, Relação de Empreendimentos de Geração Distribuída, </w:t>
      </w:r>
      <w:hyperlink w:history="1" r:id="rIdjkwuweibyrvyh_aiqlerq">
        <w:r>
          <w:rPr>
            <w:rStyle w:val="Hyperlink"/>
          </w:rPr>
          <w:t xml:space="preserve">dadosabertos.aneel.gov.br</w:t>
        </w:r>
      </w:hyperlink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mbria" w:cs="Cambria" w:eastAsia="Cambria" w:hAnsi="Cambria"/>
        <w:i/>
        <w:iCs/>
        <w:sz w:val="16"/>
        <w:szCs w:val="16"/>
      </w:rPr>
      <w:t xml:space="preserve">MBA Big Data Analytics, Mackenzie · Sprint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mbedTrueTypeFonts w:val="1"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Title">
    <w:name w:val="Title"/>
    <w:basedOn w:val="Normal"/>
    <w:next w:val="Normal"/>
    <w:qFormat/>
    <w:rPr>
      <w:rFonts w:ascii="Quattrocento Sans" w:cs="Quattrocento Sans" w:eastAsia="Quattrocento Sans" w:hAnsi="Quattrocento Sans"/>
      <w:b/>
      <w:bCs/>
      <w:sz w:val="36"/>
      <w:szCs w:val="36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sz w:val="22"/>
      <w:szCs w:val="22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rPr>
      <w:rFonts w:ascii="Cambria" w:cs="Cambria" w:eastAsia="Cambria" w:hAnsi="Cambria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 w:line="276" w:lineRule="auto"/>
      <w:outlineLvl w:val="0"/>
    </w:pPr>
    <w:rPr>
      <w:rFonts w:ascii="Cambria" w:cs="Cambria" w:eastAsia="Cambria" w:hAnsi="Cambria"/>
      <w:b/>
      <w:bCs/>
      <w:sz w:val="22"/>
      <w:szCs w:val="22"/>
    </w:rPr>
  </w:style>
  <w:style w:type="paragraph" w:styleId="Heading2">
    <w:name w:val="Heading 2"/>
    <w:basedOn w:val="Normal"/>
    <w:next w:val="Normal"/>
    <w:qFormat/>
    <w:pPr>
      <w:spacing w:after="200" w:before="0" w:line="276" w:lineRule="auto"/>
      <w:outlineLvl w:val="1"/>
    </w:pPr>
    <w:rPr>
      <w:rFonts w:ascii="Cambria" w:cs="Cambria" w:eastAsia="Cambria" w:hAnsi="Cambria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var1nkwl5ual-gt2ezhig" Type="http://schemas.openxmlformats.org/officeDocument/2006/relationships/hyperlink" Target="https://github.com/FabioFumioWada/MACK_MBA_Eng_Dados_TurmaG_Energia_Solar" TargetMode="External"/><Relationship Id="rId9ge6wka6wjdhtwiay6fsu" Type="http://schemas.openxmlformats.org/officeDocument/2006/relationships/hyperlink" Target="https://dadosabertos.aneel.gov.br/dataset/bandeiras-tarifarias" TargetMode="External"/><Relationship Id="rIdvoxkj7heqm8ftrgcgrhqg" Type="http://schemas.openxmlformats.org/officeDocument/2006/relationships/hyperlink" Target="https://dadosabertos.aneel.gov.br/dataset/relacao-de-empreendimentos-de-geracao-distribuida" TargetMode="External"/><Relationship Id="rIdljulcuqbjvu9o-znrd-i0" Type="http://schemas.openxmlformats.org/officeDocument/2006/relationships/hyperlink" Target="https://dados.ons.org.br/dataset/ena-diario-por-subsistema" TargetMode="External"/><Relationship Id="rIdt078soz010trzxxb3snj1" Type="http://schemas.openxmlformats.org/officeDocument/2006/relationships/hyperlink" Target="https://dados.ons.org.br/dataset/ena-diario-por-reservatorio" TargetMode="External"/><Relationship Id="rIdp9lmvj4bnk4axiklxd4kx" Type="http://schemas.openxmlformats.org/officeDocument/2006/relationships/hyperlink" Target="https://dadosabertos.aneel.gov.br/dataset/tarifas-distribuidoras-energia-eletrica" TargetMode="External"/><Relationship Id="rIdkef3ds0-_jiyrczdrmmns" Type="http://schemas.openxmlformats.org/officeDocument/2006/relationships/hyperlink" Target="https://www.gov.br/aneel/pt-br/assuntos/noticias/2022/faq-tire-suas-duvidas-sobre-a-bandeira-escassez-hidrica" TargetMode="External"/><Relationship Id="rIdipczepny76qeiabazc6-a" Type="http://schemas.openxmlformats.org/officeDocument/2006/relationships/hyperlink" Target="https://www.gov.br/aneel/pt-br/assuntos/geracao-distribuida" TargetMode="External"/><Relationship Id="rIdjwftg8e0rnz0rybex8jwn" Type="http://schemas.openxmlformats.org/officeDocument/2006/relationships/hyperlink" Target="https://www.epe.gov.br/pt/publicacoes-dados-abertos/publicacoes/anuario-estatistico-de-energia-eletrica" TargetMode="External"/><Relationship Id="rId67nftl5juk51dstavgo2b" Type="http://schemas.openxmlformats.org/officeDocument/2006/relationships/hyperlink" Target="https://github.com/FabioFumioWada/MACK_MBA_Eng_Dados_TurmaG_Energia_Solar" TargetMode="External"/><Relationship Id="rId9" Type="http://schemas.openxmlformats.org/officeDocument/2006/relationships/image" Target="media/9f50b2f8cea02e51eaed76f670e8da67ec6320c6.png"/><Relationship Id="rId20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footnotes.xml.rels><?xml version='1.0' encoding='UTF-8' standalone='yes'?>
<Relationships xmlns="http://schemas.openxmlformats.org/package/2006/relationships"><Relationship Id="rIdqzilpm6t1-rtxspiiinwz" Type="http://schemas.openxmlformats.org/officeDocument/2006/relationships/hyperlink" Target="https://www.gov.br/aneel/pt-br/assuntos/geracao-distribuida" TargetMode="External"/><Relationship Id="rIdo8lb3mi7ee0xrn4pykiry" Type="http://schemas.openxmlformats.org/officeDocument/2006/relationships/hyperlink" Target="https://www.gov.br/aneel/pt-br/assuntos/noticias/2022/faq-tire-suas-duvidas-sobre-a-bandeira-escassez-hidrica" TargetMode="External"/><Relationship Id="rIdhh_aoh_nkmy-fylpxfrml" Type="http://schemas.openxmlformats.org/officeDocument/2006/relationships/hyperlink" Target="https://dadosabertos.aneel.gov.br/dataset/bandeiras-tarifarias" TargetMode="External"/><Relationship Id="rIddfu_ellqd5ttrwhvmcsai" Type="http://schemas.openxmlformats.org/officeDocument/2006/relationships/hyperlink" Target="https://dados.ons.org.br/dataset/ena-diario-por-subsistema" TargetMode="External"/><Relationship Id="rIdjkwuweibyrvyh_aiqlerq" Type="http://schemas.openxmlformats.org/officeDocument/2006/relationships/hyperlink" Target="https://dadosabertos.aneel.gov.br/dataset/relacao-de-empreendimentos-de-geracao-distribuida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2026-08-21T00:58:57.939Z</dcterms:created>
  <dcterms:modified xsi:type="dcterms:W3CDTF">2026-08-21T00:58:57.939Z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