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D2F04" w14:textId="77777777" w:rsidR="002A6BAE" w:rsidRDefault="002A6BAE"/>
    <w:p w14:paraId="4269A05E" w14:textId="77777777" w:rsidR="008939EF" w:rsidRDefault="008939EF" w:rsidP="008939EF"/>
    <w:p w14:paraId="6939FBAE" w14:textId="77777777" w:rsidR="008939EF" w:rsidRDefault="008939EF" w:rsidP="008939EF">
      <w:pPr>
        <w:pStyle w:val="Heading1"/>
        <w:numPr>
          <w:ilvl w:val="0"/>
          <w:numId w:val="0"/>
        </w:numPr>
      </w:pPr>
      <w:r>
        <w:t>Authors Note</w:t>
      </w:r>
    </w:p>
    <w:p w14:paraId="707931A0" w14:textId="18729D81" w:rsidR="008939EF" w:rsidRDefault="008939EF" w:rsidP="008939EF">
      <w:r>
        <w:t>Please note the original intention of the study was to independently carry out the numerical analyses on both a physical fluid data set and a financial (stock market) data set to independently verify the phenomena discussed in sections</w:t>
      </w:r>
      <w:r w:rsidR="003A555C">
        <w:t xml:space="preserve"> </w:t>
      </w:r>
      <w:r>
        <w:fldChar w:fldCharType="begin"/>
      </w:r>
      <w:r>
        <w:instrText xml:space="preserve"> REF _Ref145328484 \r \h </w:instrText>
      </w:r>
      <w:r>
        <w:fldChar w:fldCharType="separate"/>
      </w:r>
      <w:r w:rsidR="00AE3D0F">
        <w:t>3.1</w:t>
      </w:r>
      <w:r>
        <w:fldChar w:fldCharType="end"/>
      </w:r>
      <w:r>
        <w:t xml:space="preserve"> to</w:t>
      </w:r>
      <w:r w:rsidR="00BA4E83">
        <w:t xml:space="preserve"> </w:t>
      </w:r>
      <w:r>
        <w:fldChar w:fldCharType="begin"/>
      </w:r>
      <w:r>
        <w:instrText xml:space="preserve"> REF _Ref145154718 \r \h </w:instrText>
      </w:r>
      <w:r>
        <w:fldChar w:fldCharType="separate"/>
      </w:r>
      <w:r w:rsidR="00AE3D0F">
        <w:t>3.3</w:t>
      </w:r>
      <w:r>
        <w:fldChar w:fldCharType="end"/>
      </w:r>
      <w:r>
        <w:t xml:space="preserve">, however finding high resolution data on fluid velocity fluctuation has been deemed too difficult. In fact, the singular source found with potentially the right data had technical issues not allowing me to download a functional version of the file. </w:t>
      </w:r>
    </w:p>
    <w:p w14:paraId="7471CB25" w14:textId="77777777" w:rsidR="008939EF" w:rsidRDefault="008939EF" w:rsidP="008939EF">
      <w:r>
        <w:t>Therefore, the independent study could only be carried out on the financial data and compared to the fluid study in the refence materials.</w:t>
      </w:r>
    </w:p>
    <w:p w14:paraId="28A9D1D5" w14:textId="77777777" w:rsidR="002A6BAE" w:rsidRDefault="007C7520">
      <w:r>
        <w:br w:type="page"/>
      </w:r>
    </w:p>
    <w:p w14:paraId="57FA2564" w14:textId="77777777" w:rsidR="002A6BAE" w:rsidRDefault="002A6BAE"/>
    <w:p w14:paraId="71DCEC17" w14:textId="77777777" w:rsidR="002A6BAE" w:rsidRDefault="002A6BAE"/>
    <w:p w14:paraId="76A78B09" w14:textId="77777777" w:rsidR="002A6BAE" w:rsidRDefault="002A6BAE"/>
    <w:p w14:paraId="1D77B128" w14:textId="77777777" w:rsidR="002A6BAE" w:rsidRDefault="002A6BAE"/>
    <w:p w14:paraId="49324725" w14:textId="77777777" w:rsidR="002A6BAE" w:rsidRDefault="002A6BAE"/>
    <w:p w14:paraId="3CB45FCD" w14:textId="77777777" w:rsidR="002A6BAE" w:rsidRDefault="002A6BAE"/>
    <w:p w14:paraId="26578FDE" w14:textId="77777777" w:rsidR="002A6BAE" w:rsidRDefault="002A6BAE"/>
    <w:p w14:paraId="3E76B5D5" w14:textId="77777777" w:rsidR="002A6BAE" w:rsidRDefault="002A6BAE"/>
    <w:p w14:paraId="57387D5D" w14:textId="77777777" w:rsidR="002A6BAE" w:rsidRDefault="002A6BAE"/>
    <w:p w14:paraId="609DF2B1" w14:textId="77777777" w:rsidR="002A6BAE" w:rsidRDefault="002A6BAE"/>
    <w:p w14:paraId="58A8BD97" w14:textId="77777777" w:rsidR="002A6BAE" w:rsidRDefault="002A6BAE"/>
    <w:p w14:paraId="4D8278C4" w14:textId="77777777" w:rsidR="00266AB1" w:rsidRPr="006B2C5B" w:rsidRDefault="00266AB1" w:rsidP="00266AB1">
      <w:pPr>
        <w:pStyle w:val="Title"/>
        <w:jc w:val="center"/>
        <w:rPr>
          <w:b/>
          <w:bCs/>
          <w:color w:val="008080"/>
          <w:sz w:val="52"/>
          <w:szCs w:val="52"/>
        </w:rPr>
      </w:pPr>
      <w:r w:rsidRPr="006B2C5B">
        <w:rPr>
          <w:b/>
          <w:bCs/>
          <w:color w:val="008080"/>
        </w:rPr>
        <w:t>Fluid and Stock Mar</w:t>
      </w:r>
      <w:r w:rsidRPr="00184F10">
        <w:rPr>
          <w:b/>
          <w:bCs/>
          <w:color w:val="008080"/>
        </w:rPr>
        <w:t xml:space="preserve">ket </w:t>
      </w:r>
      <w:r w:rsidRPr="006B2C5B">
        <w:rPr>
          <w:b/>
          <w:bCs/>
          <w:color w:val="008080"/>
        </w:rPr>
        <w:t xml:space="preserve">Turbulence </w:t>
      </w:r>
      <w:r w:rsidRPr="00C63F34">
        <w:rPr>
          <w:i/>
          <w:iCs/>
          <w:color w:val="008080"/>
          <w:sz w:val="44"/>
          <w:szCs w:val="44"/>
        </w:rPr>
        <w:t>Examples of the Limitation on Quantitative Parallels</w:t>
      </w:r>
    </w:p>
    <w:p w14:paraId="5793A560" w14:textId="267459E0" w:rsidR="007C7520" w:rsidRDefault="007C7520">
      <w:r>
        <w:br w:type="page"/>
      </w:r>
    </w:p>
    <w:p w14:paraId="5816AEB4" w14:textId="77777777" w:rsidR="007C7520" w:rsidRDefault="007C7520">
      <w:pPr>
        <w:rPr>
          <w:rFonts w:eastAsiaTheme="majorEastAsia" w:cstheme="majorBidi"/>
          <w:b/>
          <w:color w:val="006A68"/>
          <w:sz w:val="32"/>
          <w:szCs w:val="32"/>
        </w:rPr>
      </w:pPr>
    </w:p>
    <w:p w14:paraId="21FA33E3" w14:textId="23F70BFD" w:rsidR="009F459C" w:rsidRDefault="009F459C" w:rsidP="009F459C">
      <w:pPr>
        <w:pStyle w:val="Heading1"/>
      </w:pPr>
      <w:r>
        <w:t>Introduction</w:t>
      </w:r>
    </w:p>
    <w:p w14:paraId="16A5416B" w14:textId="7DD75B14" w:rsidR="009F459C" w:rsidRDefault="009F459C" w:rsidP="008D3F6A">
      <w:pPr>
        <w:pStyle w:val="Heading2"/>
      </w:pPr>
      <w:r>
        <w:t>Nomenclature and Qualitative Parallels</w:t>
      </w:r>
    </w:p>
    <w:p w14:paraId="5CCB50F4" w14:textId="77777777" w:rsidR="009F459C" w:rsidRDefault="009F459C" w:rsidP="009F459C">
      <w:r>
        <w:t xml:space="preserve">Turbulence is a term that is used in the financial markets, meaning periods of rapid rising and falling of the stock market. The parallels with fluid turbulence are clear when viewed through the lens of airline turbulence, which causes the airplane to rapidly rise and fall, one could conclude that this is the actual origin of the linkage of the two terms in common parlance. </w:t>
      </w:r>
    </w:p>
    <w:p w14:paraId="7EED8B7C" w14:textId="77777777" w:rsidR="009F459C" w:rsidRDefault="009F459C" w:rsidP="009F459C">
      <w:r>
        <w:t>From a qualitative perspective both fluid and financial turbulence can reflect similar characteristics, both have:</w:t>
      </w:r>
    </w:p>
    <w:p w14:paraId="7A0D14FF" w14:textId="664742E3" w:rsidR="009F459C" w:rsidRDefault="009F459C" w:rsidP="00A83821">
      <w:pPr>
        <w:pStyle w:val="ListParagraph"/>
        <w:numPr>
          <w:ilvl w:val="0"/>
          <w:numId w:val="17"/>
        </w:numPr>
      </w:pPr>
      <w:r>
        <w:t>Cyclical periods (intervals with seemingly random lengths) changing between calm and turbulent movement</w:t>
      </w:r>
    </w:p>
    <w:p w14:paraId="62EB6BB4" w14:textId="56DDE830" w:rsidR="009F459C" w:rsidRDefault="009F459C" w:rsidP="00A83821">
      <w:pPr>
        <w:pStyle w:val="ListParagraph"/>
        <w:numPr>
          <w:ilvl w:val="0"/>
          <w:numId w:val="17"/>
        </w:numPr>
      </w:pPr>
      <w:r>
        <w:t>Both are a system respond to an outside influence (energy or information respectively)</w:t>
      </w:r>
    </w:p>
    <w:p w14:paraId="7C8FB5F9" w14:textId="1A215E98" w:rsidR="009F459C" w:rsidRDefault="009F459C" w:rsidP="00A83821">
      <w:pPr>
        <w:pStyle w:val="ListParagraph"/>
        <w:numPr>
          <w:ilvl w:val="0"/>
          <w:numId w:val="17"/>
        </w:numPr>
      </w:pPr>
      <w:r>
        <w:t>If the stream of external influence was to stop, the system would calm to a state where the chaotic behaviour (the turbulence) would calm and then the system would drift to equilibrium</w:t>
      </w:r>
    </w:p>
    <w:p w14:paraId="30450CA4" w14:textId="0D36A8F1" w:rsidR="009F459C" w:rsidRDefault="009F459C" w:rsidP="00A83821">
      <w:pPr>
        <w:pStyle w:val="ListParagraph"/>
        <w:numPr>
          <w:ilvl w:val="0"/>
          <w:numId w:val="17"/>
        </w:numPr>
      </w:pPr>
      <w:r>
        <w:t>There isn’t a complete understanding about the equations of motion dictating the exact behaviour of each system</w:t>
      </w:r>
    </w:p>
    <w:p w14:paraId="6402BABB" w14:textId="77777777" w:rsidR="009F459C" w:rsidRDefault="009F459C" w:rsidP="009F459C">
      <w:r>
        <w:t>This final point is largely because both phenomena are emergent behaviour from a very large number of multiple smaller particles or market agents responding to an outside influence.</w:t>
      </w:r>
    </w:p>
    <w:p w14:paraId="2A5B42F6" w14:textId="57C278E4" w:rsidR="003302E3" w:rsidRDefault="009F459C" w:rsidP="009F459C">
      <w:r>
        <w:t xml:space="preserve">It should be noted that while these qualitative parallels </w:t>
      </w:r>
      <w:proofErr w:type="gramStart"/>
      <w:r>
        <w:t>shows</w:t>
      </w:r>
      <w:proofErr w:type="gramEnd"/>
      <w:r>
        <w:t xml:space="preserve"> similarities, when compared on a quantitative level there are fewer parallels.</w:t>
      </w:r>
    </w:p>
    <w:p w14:paraId="2121EF94" w14:textId="77777777" w:rsidR="009F459C" w:rsidRDefault="009F459C" w:rsidP="009F459C"/>
    <w:p w14:paraId="12921D03" w14:textId="3900A6DD" w:rsidR="00C00A1C" w:rsidRDefault="00C00A1C" w:rsidP="008D3F6A">
      <w:pPr>
        <w:pStyle w:val="Heading2"/>
      </w:pPr>
      <w:r>
        <w:t>The State of High-Level Turbulence Modelling</w:t>
      </w:r>
    </w:p>
    <w:p w14:paraId="0A6FC2C0" w14:textId="77777777" w:rsidR="00C00A1C" w:rsidRDefault="00C00A1C" w:rsidP="00C00A1C">
      <w:r>
        <w:t>Turbulence is a challenging and complex subject that remains “largely unsolved” in various ways including a full mathematical description of its phenomena. Therefore, any equations that describe it are approximations made in ideal/unfeasible situations (usually assuming an infinite or large Reynolds number).</w:t>
      </w:r>
    </w:p>
    <w:p w14:paraId="7C8EFE3D" w14:textId="77777777" w:rsidR="00C00A1C" w:rsidRDefault="00C00A1C" w:rsidP="00C00A1C">
      <w:r>
        <w:t>The next section will cover some basic mathematical concepts of turbulence, these the concepts that will then be examined against stock market data in the following section in a recreation of various experimental comparisons between financial and fluid turbulence.</w:t>
      </w:r>
    </w:p>
    <w:p w14:paraId="0805ABC4" w14:textId="77777777" w:rsidR="009F459C" w:rsidRDefault="009F459C" w:rsidP="009F459C"/>
    <w:p w14:paraId="693EDFB7" w14:textId="13D09BDE" w:rsidR="00195047" w:rsidRDefault="00523778" w:rsidP="008D3F6A">
      <w:pPr>
        <w:pStyle w:val="Heading2"/>
      </w:pPr>
      <w:r>
        <w:t xml:space="preserve">Methods of </w:t>
      </w:r>
      <w:r w:rsidR="00774F7D">
        <w:t>Analysis</w:t>
      </w:r>
    </w:p>
    <w:p w14:paraId="419D6B53" w14:textId="36DBE55D" w:rsidR="00523778" w:rsidRDefault="00523778" w:rsidP="00523778">
      <w:r>
        <w:t xml:space="preserve">In the following paper there will be </w:t>
      </w:r>
      <w:r w:rsidR="00227EBC">
        <w:t>two</w:t>
      </w:r>
      <w:r>
        <w:t xml:space="preserve"> len</w:t>
      </w:r>
      <w:r w:rsidR="003A4FCB">
        <w:t>se</w:t>
      </w:r>
      <w:r>
        <w:t xml:space="preserve">s which the </w:t>
      </w:r>
      <w:r w:rsidR="00D30984">
        <w:t>turbulence</w:t>
      </w:r>
      <w:r>
        <w:t xml:space="preserve"> of fluids and </w:t>
      </w:r>
      <w:r w:rsidR="00D30984">
        <w:t>of stock prices will be compared. These are:</w:t>
      </w:r>
    </w:p>
    <w:p w14:paraId="5CF1C84A" w14:textId="223308FF" w:rsidR="00D30984" w:rsidRDefault="00D30984" w:rsidP="00D30984">
      <w:pPr>
        <w:pStyle w:val="ListParagraph"/>
        <w:numPr>
          <w:ilvl w:val="0"/>
          <w:numId w:val="20"/>
        </w:numPr>
      </w:pPr>
      <w:r>
        <w:t>A reflection of the Kolmogorov simplification</w:t>
      </w:r>
    </w:p>
    <w:p w14:paraId="2F9F7B5D" w14:textId="570DD3CC" w:rsidR="00685018" w:rsidRDefault="00685018" w:rsidP="00685018">
      <w:pPr>
        <w:pStyle w:val="ListParagraph"/>
        <w:numPr>
          <w:ilvl w:val="0"/>
          <w:numId w:val="20"/>
        </w:numPr>
      </w:pPr>
      <w:r w:rsidRPr="00685018">
        <w:t xml:space="preserve">Probability of </w:t>
      </w:r>
      <w:r w:rsidR="00CD2FEA">
        <w:t>r</w:t>
      </w:r>
      <w:r w:rsidRPr="00685018">
        <w:t>eturn</w:t>
      </w:r>
    </w:p>
    <w:p w14:paraId="4BEBCCFD" w14:textId="5EE55FEA" w:rsidR="003213A5" w:rsidRPr="00685018" w:rsidRDefault="00521A37" w:rsidP="00521A37">
      <w:pPr>
        <w:pStyle w:val="ListParagraph"/>
        <w:numPr>
          <w:ilvl w:val="1"/>
          <w:numId w:val="20"/>
        </w:numPr>
      </w:pPr>
      <w:r>
        <w:t xml:space="preserve">The probability that </w:t>
      </w:r>
      <w:r w:rsidR="00BC3347">
        <w:t xml:space="preserve">a value will return to its original value after </w:t>
      </w:r>
      <w:proofErr w:type="spellStart"/>
      <w:r w:rsidR="00257FB8">
        <w:rPr>
          <w:rFonts w:cs="Arial"/>
        </w:rPr>
        <w:t>Δ</w:t>
      </w:r>
      <w:r w:rsidR="00257FB8">
        <w:t>t</w:t>
      </w:r>
      <w:proofErr w:type="spellEnd"/>
    </w:p>
    <w:p w14:paraId="3D8C8DCE" w14:textId="21C5FEF9" w:rsidR="00D30984" w:rsidRPr="00523778" w:rsidRDefault="00537CD9" w:rsidP="00774F7D">
      <w:r>
        <w:t xml:space="preserve">It will also be shown conclusively that the stock market price in question </w:t>
      </w:r>
      <w:r w:rsidR="00774F7D">
        <w:t>moves with a leptokurtic distribution</w:t>
      </w:r>
      <w:r w:rsidR="00051132">
        <w:t xml:space="preserve"> (section </w:t>
      </w:r>
      <w:r w:rsidR="005D0FD4">
        <w:fldChar w:fldCharType="begin"/>
      </w:r>
      <w:r w:rsidR="005D0FD4">
        <w:instrText xml:space="preserve"> REF _Ref145154720 \r \h </w:instrText>
      </w:r>
      <w:r w:rsidR="005D0FD4">
        <w:fldChar w:fldCharType="separate"/>
      </w:r>
      <w:r w:rsidR="00AE3D0F">
        <w:t>4</w:t>
      </w:r>
      <w:r w:rsidR="005D0FD4">
        <w:fldChar w:fldCharType="end"/>
      </w:r>
      <w:r w:rsidR="005D0FD4">
        <w:t>)</w:t>
      </w:r>
      <w:r w:rsidR="00774F7D">
        <w:t>.</w:t>
      </w:r>
    </w:p>
    <w:p w14:paraId="646E9A4F" w14:textId="77777777" w:rsidR="00195047" w:rsidRDefault="00195047" w:rsidP="009F459C"/>
    <w:p w14:paraId="3589800F" w14:textId="56B4E5B4" w:rsidR="00FE5779" w:rsidRDefault="00FE5779" w:rsidP="00FE5779">
      <w:pPr>
        <w:pStyle w:val="Heading1"/>
      </w:pPr>
      <w:r>
        <w:t>Basic Turbulence Maths</w:t>
      </w:r>
    </w:p>
    <w:p w14:paraId="1B1D5D19" w14:textId="26D899DC" w:rsidR="00FE5779" w:rsidRDefault="00FE5779" w:rsidP="008D3F6A">
      <w:pPr>
        <w:pStyle w:val="Heading2"/>
      </w:pPr>
      <w:r>
        <w:t>Reynolds Number</w:t>
      </w:r>
    </w:p>
    <w:p w14:paraId="5089485F" w14:textId="77777777" w:rsidR="00FE5779" w:rsidRDefault="00FE5779" w:rsidP="00FE5779">
      <w:r>
        <w:t>An important equation used to approximate the behaviour of fluid turbulence is the Reynolds number. This number is used to approximate the ratio of inertial to viscous forces in a fluid flow. In an ideal system (here a pipe) the Reynolds number can be calculated by the following equation:</w:t>
      </w:r>
    </w:p>
    <w:p w14:paraId="3DAA3882" w14:textId="77777777" w:rsidR="00FE5779" w:rsidRPr="0083156D" w:rsidRDefault="00FE5779" w:rsidP="00FE5779">
      <w:pPr>
        <w:rPr>
          <w:rFonts w:eastAsiaTheme="minorEastAsia"/>
        </w:rPr>
      </w:pPr>
      <m:oMathPara>
        <m:oMath>
          <m:r>
            <w:rPr>
              <w:rFonts w:ascii="Cambria Math" w:hAnsi="Cambria Math"/>
            </w:rPr>
            <m:t>Re=</m:t>
          </m:r>
          <m:f>
            <m:fPr>
              <m:ctrlPr>
                <w:rPr>
                  <w:rFonts w:ascii="Cambria Math" w:hAnsi="Cambria Math"/>
                  <w:i/>
                </w:rPr>
              </m:ctrlPr>
            </m:fPr>
            <m:num>
              <m:r>
                <w:rPr>
                  <w:rFonts w:ascii="Cambria Math" w:hAnsi="Cambria Math"/>
                </w:rPr>
                <m:t>ρ*V*L</m:t>
              </m:r>
            </m:num>
            <m:den>
              <m:r>
                <w:rPr>
                  <w:rFonts w:ascii="Cambria Math" w:hAnsi="Cambria Math"/>
                </w:rPr>
                <m:t>μ</m:t>
              </m:r>
            </m:den>
          </m:f>
        </m:oMath>
      </m:oMathPara>
    </w:p>
    <w:p w14:paraId="46469E74" w14:textId="77777777" w:rsidR="00FE5779" w:rsidRDefault="00FE5779" w:rsidP="00FE5779">
      <w:pPr>
        <w:rPr>
          <w:rFonts w:eastAsiaTheme="minorEastAsia"/>
        </w:rPr>
      </w:pPr>
      <w:r>
        <w:rPr>
          <w:rFonts w:eastAsiaTheme="minorEastAsia"/>
        </w:rPr>
        <w:t>Where:</w:t>
      </w:r>
    </w:p>
    <w:p w14:paraId="1E39B012" w14:textId="77777777" w:rsidR="00FE5779" w:rsidRPr="0083156D" w:rsidRDefault="00FE5779" w:rsidP="00FE5779">
      <w:pPr>
        <w:rPr>
          <w:rFonts w:eastAsiaTheme="minorEastAsia"/>
        </w:rPr>
      </w:pPr>
      <m:oMathPara>
        <m:oMath>
          <m:r>
            <w:rPr>
              <w:rFonts w:ascii="Cambria Math" w:hAnsi="Cambria Math"/>
            </w:rPr>
            <m:t>Re→Reynolds number</m:t>
          </m:r>
        </m:oMath>
      </m:oMathPara>
    </w:p>
    <w:p w14:paraId="2624538B" w14:textId="77777777" w:rsidR="00FE5779" w:rsidRPr="003021B5" w:rsidRDefault="00FE5779" w:rsidP="00FE5779">
      <w:pPr>
        <w:rPr>
          <w:rFonts w:eastAsiaTheme="minorEastAsia"/>
        </w:rPr>
      </w:pPr>
      <m:oMathPara>
        <m:oMath>
          <m:r>
            <w:rPr>
              <w:rFonts w:ascii="Cambria Math" w:hAnsi="Cambria Math"/>
            </w:rPr>
            <m:t>ρ→fluid density</m:t>
          </m:r>
        </m:oMath>
      </m:oMathPara>
    </w:p>
    <w:p w14:paraId="5AA5CD64" w14:textId="77777777" w:rsidR="00FE5779" w:rsidRPr="0083156D" w:rsidRDefault="00FE5779" w:rsidP="00FE5779">
      <w:pPr>
        <w:rPr>
          <w:rFonts w:eastAsiaTheme="minorEastAsia"/>
        </w:rPr>
      </w:pPr>
      <m:oMathPara>
        <m:oMath>
          <m:r>
            <w:rPr>
              <w:rFonts w:ascii="Cambria Math" w:hAnsi="Cambria Math"/>
            </w:rPr>
            <m:t>V→</m:t>
          </m:r>
          <m:r>
            <w:rPr>
              <w:rFonts w:ascii="Cambria Math" w:eastAsiaTheme="minorEastAsia" w:hAnsi="Cambria Math"/>
            </w:rPr>
            <m:t>flow velocity</m:t>
          </m:r>
        </m:oMath>
      </m:oMathPara>
    </w:p>
    <w:p w14:paraId="25C563A0" w14:textId="77777777" w:rsidR="00FE5779" w:rsidRPr="0083156D" w:rsidRDefault="00FE5779" w:rsidP="00FE5779">
      <w:pPr>
        <w:rPr>
          <w:rFonts w:eastAsiaTheme="minorEastAsia"/>
        </w:rPr>
      </w:pPr>
      <m:oMathPara>
        <m:oMath>
          <m:r>
            <w:rPr>
              <w:rFonts w:ascii="Cambria Math" w:hAnsi="Cambria Math"/>
            </w:rPr>
            <m:t>L→</m:t>
          </m:r>
          <m:r>
            <w:rPr>
              <w:rFonts w:ascii="Cambria Math" w:eastAsiaTheme="minorEastAsia" w:hAnsi="Cambria Math"/>
            </w:rPr>
            <m:t>characteristic length</m:t>
          </m:r>
        </m:oMath>
      </m:oMathPara>
    </w:p>
    <w:p w14:paraId="208BB2FD" w14:textId="77777777" w:rsidR="00FE5779" w:rsidRDefault="00FE5779" w:rsidP="00FE5779">
      <m:oMathPara>
        <m:oMath>
          <m:r>
            <w:rPr>
              <w:rFonts w:ascii="Cambria Math" w:hAnsi="Cambria Math"/>
            </w:rPr>
            <m:t>μ→ fluid dynamic viscosity</m:t>
          </m:r>
        </m:oMath>
      </m:oMathPara>
    </w:p>
    <w:p w14:paraId="2A5E60CA" w14:textId="77777777" w:rsidR="00FE5779" w:rsidRDefault="00FE5779" w:rsidP="00FE5779">
      <w:r>
        <w:t xml:space="preserve">If this value is below 2000 then the flow is “laminar”, a state where particles tend to travel in </w:t>
      </w:r>
      <w:r w:rsidRPr="004C37F8">
        <w:t>smooth, well-ordered layers</w:t>
      </w:r>
      <w:r>
        <w:t xml:space="preserve">. Whereas if the value is over 4000 the flow </w:t>
      </w:r>
      <w:proofErr w:type="gramStart"/>
      <w:r>
        <w:t>is considered to be</w:t>
      </w:r>
      <w:proofErr w:type="gramEnd"/>
      <w:r>
        <w:t xml:space="preserve"> turbulent. There is an area between these values called “transitional”, where sections of the flow are turbulent (generally near the contact surfaces) and other sections are still laminar. In this state laminar sections of flow can be converted to turbulent section downstream by random turbulations that upset laminar flow.</w:t>
      </w:r>
    </w:p>
    <w:p w14:paraId="4E0897EB" w14:textId="77777777" w:rsidR="00A83821" w:rsidRDefault="00A83821" w:rsidP="00FE5779"/>
    <w:p w14:paraId="17E3EC63" w14:textId="77777777" w:rsidR="005C7731" w:rsidRDefault="005C7731" w:rsidP="008D3F6A">
      <w:pPr>
        <w:pStyle w:val="Heading2"/>
      </w:pPr>
      <w:r>
        <w:t>Navier Stokes Equation</w:t>
      </w:r>
    </w:p>
    <w:p w14:paraId="1DF04FEF" w14:textId="77777777" w:rsidR="005C7731" w:rsidRDefault="005C7731" w:rsidP="005C7731">
      <w:r>
        <w:t xml:space="preserve">While not directly used in the final calculation, a derivative of this equation is used, </w:t>
      </w:r>
      <w:proofErr w:type="gramStart"/>
      <w:r>
        <w:t>that being said no</w:t>
      </w:r>
      <w:proofErr w:type="gramEnd"/>
      <w:r>
        <w:t xml:space="preserve"> discussion of turbulence would be complete without the brief mention of the renowned Navier–Stokes equations: </w:t>
      </w:r>
    </w:p>
    <w:p w14:paraId="27373F9E" w14:textId="77777777" w:rsidR="005C7731" w:rsidRPr="00883979" w:rsidRDefault="00BA4E83" w:rsidP="005C7731">
      <w:pPr>
        <w:rPr>
          <w:rFonts w:eastAsiaTheme="minorEastAsia"/>
          <w:iCs/>
        </w:rPr>
      </w:pPr>
      <m:oMathPara>
        <m:oMath>
          <m:f>
            <m:fPr>
              <m:ctrlPr>
                <w:rPr>
                  <w:rFonts w:ascii="Cambria Math" w:hAnsi="Cambria Math"/>
                  <w:i/>
                </w:rPr>
              </m:ctrlPr>
            </m:fPr>
            <m:num>
              <m:r>
                <w:rPr>
                  <w:rFonts w:ascii="Cambria Math" w:hAnsi="Cambria Math"/>
                </w:rPr>
                <m:t>δ</m:t>
              </m:r>
            </m:num>
            <m:den>
              <m:r>
                <w:rPr>
                  <w:rFonts w:ascii="Cambria Math" w:hAnsi="Cambria Math"/>
                </w:rPr>
                <m:t>δt</m:t>
              </m:r>
            </m:den>
          </m:f>
          <m:r>
            <w:rPr>
              <w:rFonts w:ascii="Cambria Math" w:hAnsi="Cambria Math"/>
            </w:rPr>
            <m:t>V</m:t>
          </m:r>
          <m:d>
            <m:dPr>
              <m:ctrlPr>
                <w:rPr>
                  <w:rFonts w:ascii="Cambria Math" w:hAnsi="Cambria Math"/>
                  <w:i/>
                </w:rPr>
              </m:ctrlPr>
            </m:dPr>
            <m:e>
              <m:r>
                <m:rPr>
                  <m:sty m:val="bi"/>
                </m:rPr>
                <w:rPr>
                  <w:rFonts w:ascii="Cambria Math" w:hAnsi="Cambria Math"/>
                </w:rPr>
                <m:t>r</m:t>
              </m:r>
              <m:r>
                <w:rPr>
                  <w:rFonts w:ascii="Cambria Math" w:hAnsi="Cambria Math"/>
                </w:rPr>
                <m:t>,</m:t>
              </m:r>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V</m:t>
              </m:r>
              <m:d>
                <m:dPr>
                  <m:ctrlPr>
                    <w:rPr>
                      <w:rFonts w:ascii="Cambria Math" w:hAnsi="Cambria Math"/>
                      <w:i/>
                    </w:rPr>
                  </m:ctrlPr>
                </m:dPr>
                <m:e>
                  <m:r>
                    <m:rPr>
                      <m:sty m:val="bi"/>
                    </m:rPr>
                    <w:rPr>
                      <w:rFonts w:ascii="Cambria Math" w:hAnsi="Cambria Math"/>
                    </w:rPr>
                    <m:t>r</m:t>
                  </m:r>
                  <m:r>
                    <w:rPr>
                      <w:rFonts w:ascii="Cambria Math" w:hAnsi="Cambria Math"/>
                    </w:rPr>
                    <m:t>,</m:t>
                  </m:r>
                  <m:r>
                    <w:rPr>
                      <w:rFonts w:ascii="Cambria Math" w:hAnsi="Cambria Math"/>
                    </w:rPr>
                    <m:t>t</m:t>
                  </m:r>
                </m:e>
              </m:d>
              <m:r>
                <w:rPr>
                  <w:rFonts w:ascii="Cambria Math" w:hAnsi="Cambria Math"/>
                </w:rPr>
                <m:t>∙</m:t>
              </m:r>
              <m:r>
                <m:rPr>
                  <m:sty m:val="p"/>
                </m:rPr>
                <w:rPr>
                  <w:rFonts w:ascii="Cambria Math" w:hAnsi="Cambria Math"/>
                </w:rPr>
                <m:t>∇</m:t>
              </m:r>
            </m:e>
          </m:d>
          <m: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m:t>
              </m:r>
              <m:r>
                <w:rPr>
                  <w:rFonts w:ascii="Cambria Math" w:eastAsiaTheme="minorEastAsia" w:hAnsi="Cambria Math"/>
                </w:rPr>
                <m:t>t</m:t>
              </m:r>
            </m:e>
          </m:d>
          <m:r>
            <w:rPr>
              <w:rFonts w:ascii="Cambria Math" w:eastAsiaTheme="minorEastAsia" w:hAnsi="Cambria Math"/>
            </w:rPr>
            <m:t>=-</m:t>
          </m:r>
          <m:r>
            <m:rPr>
              <m:sty m:val="p"/>
            </m:rPr>
            <w:rPr>
              <w:rFonts w:ascii="Cambria Math" w:hAnsi="Cambria Math"/>
            </w:rPr>
            <m:t>∇</m:t>
          </m:r>
          <m:r>
            <w:rPr>
              <w:rFonts w:ascii="Cambria Math" w:hAnsi="Cambria Math"/>
            </w:rPr>
            <m:t>P</m:t>
          </m:r>
          <m:r>
            <m:rPr>
              <m:sty m:val="p"/>
            </m:rPr>
            <w:rPr>
              <w:rFonts w:ascii="Cambria Math" w:hAnsi="Cambria Math"/>
            </w:rPr>
            <m:t>+ 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b"/>
            </m:rPr>
            <w:rPr>
              <w:rFonts w:ascii="Cambria Math" w:hAnsi="Cambria Math"/>
            </w:rPr>
            <m:t>V</m:t>
          </m:r>
          <m:d>
            <m:dPr>
              <m:ctrlPr>
                <w:rPr>
                  <w:rFonts w:ascii="Cambria Math" w:eastAsiaTheme="minorEastAsia" w:hAnsi="Cambria Math"/>
                  <w:i/>
                  <w:iCs/>
                </w:rPr>
              </m:ctrlPr>
            </m:dPr>
            <m:e>
              <m:r>
                <m:rPr>
                  <m:sty m:val="bi"/>
                </m:rPr>
                <w:rPr>
                  <w:rFonts w:ascii="Cambria Math" w:eastAsiaTheme="minorEastAsia" w:hAnsi="Cambria Math"/>
                </w:rPr>
                <m:t>r</m:t>
              </m:r>
              <m:r>
                <w:rPr>
                  <w:rFonts w:ascii="Cambria Math" w:eastAsiaTheme="minorEastAsia" w:hAnsi="Cambria Math"/>
                </w:rPr>
                <m:t>,</m:t>
              </m:r>
              <m:r>
                <w:rPr>
                  <w:rFonts w:ascii="Cambria Math" w:eastAsiaTheme="minorEastAsia" w:hAnsi="Cambria Math"/>
                </w:rPr>
                <m:t>t</m:t>
              </m:r>
            </m:e>
          </m:d>
        </m:oMath>
      </m:oMathPara>
    </w:p>
    <w:p w14:paraId="0D90684B" w14:textId="77777777" w:rsidR="005C7731" w:rsidRPr="002A688A" w:rsidRDefault="005C7731" w:rsidP="005C7731">
      <w:pPr>
        <w:rPr>
          <w:rFonts w:eastAsiaTheme="minorEastAsia"/>
        </w:rPr>
      </w:pPr>
      <m:oMathPara>
        <m:oMath>
          <m:r>
            <m:rPr>
              <m:sty m:val="p"/>
            </m:rPr>
            <w:rPr>
              <w:rFonts w:ascii="Cambria Math" w:hAnsi="Cambria Math"/>
            </w:rPr>
            <m:t>∇</m:t>
          </m:r>
          <m:r>
            <w:rPr>
              <w:rFonts w:ascii="Cambria Math" w:hAnsi="Cambria Math"/>
            </w:rPr>
            <m:t>∙V</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=0</m:t>
          </m:r>
        </m:oMath>
      </m:oMathPara>
    </w:p>
    <w:p w14:paraId="77FDBB31" w14:textId="77777777" w:rsidR="005C7731" w:rsidRDefault="005C7731" w:rsidP="005C7731">
      <w:r>
        <w:t>Where:</w:t>
      </w:r>
    </w:p>
    <w:p w14:paraId="5C033E9C" w14:textId="77777777" w:rsidR="005C7731" w:rsidRPr="00EB58F1" w:rsidRDefault="005C7731" w:rsidP="005C773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r,t</m:t>
              </m:r>
            </m:e>
          </m:d>
          <m:r>
            <w:rPr>
              <w:rFonts w:ascii="Cambria Math" w:hAnsi="Cambria Math"/>
            </w:rPr>
            <m:t>→Velocity vector at position r and time t</m:t>
          </m:r>
        </m:oMath>
      </m:oMathPara>
    </w:p>
    <w:p w14:paraId="0385D199" w14:textId="77777777" w:rsidR="005C7731" w:rsidRPr="0070105C" w:rsidRDefault="005C7731" w:rsidP="005C7731">
      <w:pPr>
        <w:rPr>
          <w:rFonts w:eastAsiaTheme="minorEastAsia"/>
        </w:rPr>
      </w:pPr>
      <m:oMathPara>
        <m:oMath>
          <m:r>
            <w:rPr>
              <w:rFonts w:ascii="Cambria Math" w:eastAsiaTheme="minorEastAsia" w:hAnsi="Cambria Math"/>
            </w:rPr>
            <m:t>P→Pressure</m:t>
          </m:r>
        </m:oMath>
      </m:oMathPara>
    </w:p>
    <w:p w14:paraId="3FC695C7" w14:textId="77777777" w:rsidR="005C7731" w:rsidRDefault="005C7731" w:rsidP="005C7731">
      <w:r>
        <w:t>These equations are used to describe the motion of fluid in slow-moving (i.e. well below the local speed of sound), incompressible fluids and effectively describe the changes in fluid velocity in both time and space relative to the kinematic viscosity (a function of the fluids viscosity and density) and pressure gradients. Part of what makes these equations difficult is that they consider the gradients in pressure and velocity in 3 spatial and 1 time dimension to give a single rate of change for one dimension in relation to the others.</w:t>
      </w:r>
    </w:p>
    <w:p w14:paraId="406CB9CD" w14:textId="37BC1835" w:rsidR="005C7731" w:rsidRDefault="005C7731" w:rsidP="005C7731">
      <w:r>
        <w:lastRenderedPageBreak/>
        <w:t>In fact, the analytical solutions for the Navier–Stokes equation has been proved impossible and numerical solutions for very large Reynolds numbers are currently impossible, which is relevant because that means it can’t be used to calculate</w:t>
      </w:r>
      <w:r w:rsidR="009B0D64">
        <w:t>,</w:t>
      </w:r>
      <w:r>
        <w:t xml:space="preserve"> model</w:t>
      </w:r>
      <w:r w:rsidR="009B0D64">
        <w:t xml:space="preserve"> or </w:t>
      </w:r>
      <w:r>
        <w:t>simulate turbulent flow.</w:t>
      </w:r>
    </w:p>
    <w:p w14:paraId="129CFFA5" w14:textId="77777777" w:rsidR="00A83821" w:rsidRDefault="00A83821" w:rsidP="005C7731"/>
    <w:p w14:paraId="2BFB2E68" w14:textId="21FCC6C7" w:rsidR="00A83821" w:rsidRDefault="00A83821" w:rsidP="008D3F6A">
      <w:pPr>
        <w:pStyle w:val="Heading2"/>
      </w:pPr>
      <w:bookmarkStart w:id="0" w:name="_Ref145337806"/>
      <w:r>
        <w:t>Kolmogorov Equation</w:t>
      </w:r>
      <w:bookmarkEnd w:id="0"/>
    </w:p>
    <w:p w14:paraId="5E3016EF" w14:textId="77777777" w:rsidR="00A83821" w:rsidRDefault="00A83821" w:rsidP="00A83821">
      <w:r>
        <w:t>Kolmogorov showed that in the limit of an infinite Reynolds number, the Navier-Stokes equation could be simplified into a mean square velocity increment:</w:t>
      </w:r>
    </w:p>
    <w:p w14:paraId="75ECAFC7" w14:textId="77777777" w:rsidR="00A83821" w:rsidRDefault="00BA4E83" w:rsidP="00A83821">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ΔV</m:t>
                      </m:r>
                      <m:d>
                        <m:dPr>
                          <m:ctrlPr>
                            <w:rPr>
                              <w:rFonts w:ascii="Cambria Math" w:hAnsi="Cambria Math"/>
                              <w:i/>
                            </w:rPr>
                          </m:ctrlPr>
                        </m:dPr>
                        <m:e>
                          <m:r>
                            <w:rPr>
                              <w:rFonts w:ascii="Cambria Math" w:hAnsi="Cambria Math"/>
                            </w:rPr>
                            <m:t>l</m:t>
                          </m:r>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r</m:t>
                          </m:r>
                          <m:r>
                            <w:rPr>
                              <w:rFonts w:ascii="Cambria Math" w:hAnsi="Cambria Math"/>
                            </w:rPr>
                            <m:t>+</m:t>
                          </m:r>
                          <m:r>
                            <w:rPr>
                              <w:rFonts w:ascii="Cambria Math" w:hAnsi="Cambria Math"/>
                            </w:rPr>
                            <m:t>l</m:t>
                          </m:r>
                        </m:e>
                      </m:d>
                      <m:r>
                        <w:rPr>
                          <w:rFonts w:ascii="Cambria Math" w:hAnsi="Cambria Math"/>
                        </w:rPr>
                        <m:t>-</m:t>
                      </m:r>
                      <m:r>
                        <w:rPr>
                          <w:rFonts w:ascii="Cambria Math" w:hAnsi="Cambria Math"/>
                        </w:rPr>
                        <m:t>V</m:t>
                      </m:r>
                      <m:r>
                        <w:rPr>
                          <w:rFonts w:ascii="Cambria Math" w:hAnsi="Cambria Math"/>
                        </w:rPr>
                        <m:t>(</m:t>
                      </m:r>
                      <m:r>
                        <w:rPr>
                          <w:rFonts w:ascii="Cambria Math" w:hAnsi="Cambria Math"/>
                        </w:rPr>
                        <m:t>r</m:t>
                      </m:r>
                      <m:r>
                        <w:rPr>
                          <w:rFonts w:ascii="Cambria Math" w:hAnsi="Cambria Math"/>
                        </w:rPr>
                        <m:t>)</m:t>
                      </m:r>
                    </m:e>
                  </m:d>
                </m:e>
                <m:sup>
                  <m:r>
                    <w:rPr>
                      <w:rFonts w:ascii="Cambria Math" w:hAnsi="Cambria Math"/>
                    </w:rPr>
                    <m:t>2</m:t>
                  </m:r>
                </m:sup>
              </m:sSup>
            </m:e>
          </m:d>
        </m:oMath>
      </m:oMathPara>
    </w:p>
    <w:p w14:paraId="14206726" w14:textId="77777777" w:rsidR="00A83821" w:rsidRDefault="00A83821" w:rsidP="00A83821">
      <w:r>
        <w:t>Which behaves approximately as:</w:t>
      </w:r>
    </w:p>
    <w:p w14:paraId="3A21C80A" w14:textId="77777777" w:rsidR="00A83821" w:rsidRDefault="00BA4E83" w:rsidP="00A83821">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ΔV</m:t>
                      </m:r>
                      <m:d>
                        <m:dPr>
                          <m:ctrlPr>
                            <w:rPr>
                              <w:rFonts w:ascii="Cambria Math" w:hAnsi="Cambria Math"/>
                              <w:i/>
                            </w:rPr>
                          </m:ctrlPr>
                        </m:dPr>
                        <m:e>
                          <m:r>
                            <w:rPr>
                              <w:rFonts w:ascii="Cambria Math" w:hAnsi="Cambria Math"/>
                            </w:rPr>
                            <m:t>l</m:t>
                          </m:r>
                        </m:e>
                      </m:d>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 xml:space="preserve">2/3 </m:t>
              </m:r>
            </m:sup>
          </m:sSup>
        </m:oMath>
      </m:oMathPara>
    </w:p>
    <w:p w14:paraId="3D03FA0E" w14:textId="77777777" w:rsidR="00A83821" w:rsidRDefault="00A83821" w:rsidP="00A83821">
      <w:r>
        <w:t xml:space="preserve">In simple terms the mean square velocity increment is </w:t>
      </w:r>
      <w:r w:rsidRPr="003A777D">
        <w:t xml:space="preserve">“the average change in velocity squared for a given </w:t>
      </w:r>
      <w:r>
        <w:t>displacement” and the above equation states that its linearly related to the displacement or the power of 0.66 recurring.</w:t>
      </w:r>
    </w:p>
    <w:p w14:paraId="5C9CBD6E" w14:textId="77777777" w:rsidR="00A83821" w:rsidRDefault="00A83821" w:rsidP="00A83821">
      <w:r>
        <w:t>This property can be evaluated if the following relationship can be demonstrated:</w:t>
      </w:r>
    </w:p>
    <w:p w14:paraId="041C16B5" w14:textId="77777777" w:rsidR="00A83821" w:rsidRDefault="00A83821" w:rsidP="00A83821">
      <m:oMathPara>
        <m:oMath>
          <m:r>
            <w:rPr>
              <w:rFonts w:ascii="Cambria Math" w:hAnsi="Cambria Math"/>
            </w:rPr>
            <m:t>σ</m:t>
          </m:r>
          <m:d>
            <m:dPr>
              <m:ctrlPr>
                <w:rPr>
                  <w:rFonts w:ascii="Cambria Math" w:hAnsi="Cambria Math"/>
                  <w:i/>
                </w:rPr>
              </m:ctrlPr>
            </m:dPr>
            <m:e>
              <m:r>
                <w:rPr>
                  <w:rFonts w:ascii="Cambria Math" w:hAnsi="Cambria Math"/>
                </w:rPr>
                <m:t>Δt</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Δt</m:t>
                  </m:r>
                </m:e>
              </m:d>
            </m:e>
            <m:sup>
              <m:r>
                <w:rPr>
                  <w:rFonts w:ascii="Cambria Math" w:eastAsiaTheme="minorEastAsia" w:hAnsi="Cambria Math"/>
                </w:rPr>
                <m:t>1/3</m:t>
              </m:r>
            </m:sup>
          </m:sSup>
        </m:oMath>
      </m:oMathPara>
    </w:p>
    <w:p w14:paraId="449FC6E4" w14:textId="77777777" w:rsidR="00A83821" w:rsidRDefault="00A83821" w:rsidP="00A83821">
      <w:r>
        <w:t>This relationship applies for displacement within the inertial range, which are for any scales smaller then where the turbulent behaviour takes place (i.e. the eddies and swirls) but larger than the microscopic scale where viscous forces turn any turbulence into heat energy.</w:t>
      </w:r>
    </w:p>
    <w:p w14:paraId="409DE7F4" w14:textId="77777777" w:rsidR="00A83821" w:rsidRDefault="00A83821" w:rsidP="00A83821">
      <w:r>
        <w:t xml:space="preserve">This value can be examined like a second-order moment (a variance) as the distribution of velocity difference can be examined like a distribution. </w:t>
      </w:r>
    </w:p>
    <w:p w14:paraId="04D84E4A" w14:textId="77777777" w:rsidR="00A83821" w:rsidRDefault="00A83821" w:rsidP="00A83821">
      <w:pPr>
        <w:rPr>
          <w:noProof/>
        </w:rPr>
      </w:pPr>
      <w:r>
        <w:t xml:space="preserve">To calculate this another assumption needs to be made: the Taylor hypothesis, which assumes that </w:t>
      </w:r>
      <w:r w:rsidRPr="000217D3">
        <w:t xml:space="preserve">that </w:t>
      </w:r>
      <w:r w:rsidRPr="001022C2">
        <w:rPr>
          <w:i/>
          <w:iCs/>
        </w:rPr>
        <w:t>“advection contributed by turbulent circulations themselves is small and that therefore the advection of a field of turbulence past a fixed point can be taken to be entirely due to the mean flow”</w:t>
      </w:r>
      <w:sdt>
        <w:sdtPr>
          <w:rPr>
            <w:i/>
            <w:iCs/>
          </w:rPr>
          <w:id w:val="-1878687589"/>
          <w:citation/>
        </w:sdtPr>
        <w:sdtEndPr/>
        <w:sdtContent>
          <w:r>
            <w:rPr>
              <w:i/>
              <w:iCs/>
            </w:rPr>
            <w:fldChar w:fldCharType="begin"/>
          </w:r>
          <w:r>
            <w:rPr>
              <w:i/>
              <w:iCs/>
            </w:rPr>
            <w:instrText xml:space="preserve">CITATION Ame \l 2057 </w:instrText>
          </w:r>
          <w:r>
            <w:rPr>
              <w:i/>
              <w:iCs/>
            </w:rPr>
            <w:fldChar w:fldCharType="separate"/>
          </w:r>
          <w:r>
            <w:rPr>
              <w:i/>
              <w:iCs/>
              <w:noProof/>
            </w:rPr>
            <w:t xml:space="preserve"> </w:t>
          </w:r>
          <w:r>
            <w:rPr>
              <w:noProof/>
            </w:rPr>
            <w:t>(ametsoc.org, n.d.)</w:t>
          </w:r>
          <w:r>
            <w:rPr>
              <w:i/>
              <w:iCs/>
            </w:rPr>
            <w:fldChar w:fldCharType="end"/>
          </w:r>
        </w:sdtContent>
      </w:sdt>
      <w:r>
        <w:t xml:space="preserve">. Which simply means that for the small scales that we are calculating within we can assume that turbulent features are fixed and moving along the fluid at the average fluid speed, meaning that taking two, sufficiently close, velocity readings can be the equivalent of taking two simultaneous velocity measurements </w:t>
      </w:r>
      <w:r>
        <w:rPr>
          <w:noProof/>
        </w:rPr>
        <w:t>(Cheng, 2017).</w:t>
      </w:r>
    </w:p>
    <w:p w14:paraId="655A7733" w14:textId="77777777" w:rsidR="00E27669" w:rsidRDefault="00E27669" w:rsidP="00A83821">
      <w:pPr>
        <w:rPr>
          <w:noProof/>
        </w:rPr>
      </w:pPr>
    </w:p>
    <w:p w14:paraId="65584465" w14:textId="1391D550" w:rsidR="00E27669" w:rsidRDefault="00E27669" w:rsidP="00E27669">
      <w:pPr>
        <w:pStyle w:val="Heading1"/>
      </w:pPr>
      <w:r w:rsidRPr="00C8139C">
        <w:t>Comparison</w:t>
      </w:r>
      <w:r w:rsidR="007E43B2">
        <w:t>:</w:t>
      </w:r>
      <w:r>
        <w:t xml:space="preserve"> Kolmogorov </w:t>
      </w:r>
      <w:r w:rsidR="00DA2A29">
        <w:t>Behaviour or</w:t>
      </w:r>
      <w:r>
        <w:t xml:space="preserve"> </w:t>
      </w:r>
      <w:r w:rsidR="00DA2A29">
        <w:t>Random Process</w:t>
      </w:r>
    </w:p>
    <w:p w14:paraId="0868F7CF" w14:textId="1C943E51" w:rsidR="00DA2A29" w:rsidRPr="00DA2A29" w:rsidRDefault="00DA2A29" w:rsidP="00DA2A29">
      <w:r>
        <w:t xml:space="preserve">This section will see if the two data sets will behave more like the </w:t>
      </w:r>
      <w:r w:rsidR="00FB68FC">
        <w:t xml:space="preserve">Kolmogorov behaviour explained in section </w:t>
      </w:r>
      <w:r w:rsidR="00FB68FC">
        <w:fldChar w:fldCharType="begin"/>
      </w:r>
      <w:r w:rsidR="00FB68FC">
        <w:instrText xml:space="preserve"> REF _Ref145337806 \r \h </w:instrText>
      </w:r>
      <w:r w:rsidR="00FB68FC">
        <w:fldChar w:fldCharType="separate"/>
      </w:r>
      <w:r w:rsidR="00AE3D0F">
        <w:t>2.3</w:t>
      </w:r>
      <w:r w:rsidR="00FB68FC">
        <w:fldChar w:fldCharType="end"/>
      </w:r>
      <w:r w:rsidR="00FB68FC">
        <w:t xml:space="preserve"> or like a random process.</w:t>
      </w:r>
    </w:p>
    <w:p w14:paraId="0644C8A9" w14:textId="3E61127A" w:rsidR="00E27669" w:rsidRDefault="00E27669" w:rsidP="008D3F6A">
      <w:pPr>
        <w:pStyle w:val="Heading2"/>
      </w:pPr>
      <w:bookmarkStart w:id="1" w:name="_Ref145328484"/>
      <w:bookmarkStart w:id="2" w:name="_Ref145345467"/>
      <w:r>
        <w:t>Fluid Data</w:t>
      </w:r>
      <w:bookmarkEnd w:id="1"/>
      <w:r>
        <w:t xml:space="preserve"> Available</w:t>
      </w:r>
      <w:bookmarkEnd w:id="2"/>
    </w:p>
    <w:p w14:paraId="17D2B970" w14:textId="5544068E" w:rsidR="00E27669" w:rsidRDefault="00E27669" w:rsidP="00E27669">
      <w:r>
        <w:fldChar w:fldCharType="begin"/>
      </w:r>
      <w:r>
        <w:instrText xml:space="preserve"> REF _Ref138862907 \h </w:instrText>
      </w:r>
      <w:r>
        <w:fldChar w:fldCharType="separate"/>
      </w:r>
      <w:r w:rsidR="00AE3D0F">
        <w:t xml:space="preserve">Figure </w:t>
      </w:r>
      <w:r w:rsidR="00AE3D0F">
        <w:rPr>
          <w:noProof/>
        </w:rPr>
        <w:t>1</w:t>
      </w:r>
      <w:r>
        <w:fldChar w:fldCharType="end"/>
      </w:r>
      <w:r>
        <w:t xml:space="preserve"> is the wind velocity 6 metres above the wheat canopy in the </w:t>
      </w:r>
      <w:r w:rsidRPr="00992D73">
        <w:t>Connecticut Agricultural Research Station</w:t>
      </w:r>
      <w:r>
        <w:t>. This flow was at a high Reynolds number. The time units are cited in multiple places as “</w:t>
      </w:r>
      <w:r w:rsidRPr="00A0728D">
        <w:t xml:space="preserve">arbitrary </w:t>
      </w:r>
      <w:r>
        <w:t xml:space="preserve">time units” </w:t>
      </w:r>
      <w:sdt>
        <w:sdtPr>
          <w:id w:val="-380568059"/>
          <w:citation/>
        </w:sdtPr>
        <w:sdtEndPr/>
        <w:sdtContent>
          <w:r>
            <w:fldChar w:fldCharType="begin"/>
          </w:r>
          <w:r>
            <w:instrText xml:space="preserve"> CITATION Sta97 \l 2057 </w:instrText>
          </w:r>
          <w:r>
            <w:fldChar w:fldCharType="separate"/>
          </w:r>
          <w:r>
            <w:rPr>
              <w:noProof/>
            </w:rPr>
            <w:t>(Stanley, Stock market dynamics and turbulence: Parallel analysis of fluctuation phenomena, 1997)</w:t>
          </w:r>
          <w:r>
            <w:fldChar w:fldCharType="end"/>
          </w:r>
        </w:sdtContent>
      </w:sdt>
      <w:r>
        <w:t xml:space="preserve"> </w:t>
      </w:r>
      <w:sdt>
        <w:sdtPr>
          <w:id w:val="-1128242000"/>
          <w:citation/>
        </w:sdtPr>
        <w:sdtEndPr/>
        <w:sdtContent>
          <w:r>
            <w:fldChar w:fldCharType="begin"/>
          </w:r>
          <w:r>
            <w:instrText xml:space="preserve"> CITATION RNM99 \l 2057 </w:instrText>
          </w:r>
          <w:r>
            <w:fldChar w:fldCharType="separate"/>
          </w:r>
          <w:r>
            <w:rPr>
              <w:noProof/>
            </w:rPr>
            <w:t>(Stanley, An Introduction to Enconophysics: Correclations and Complexity in Finance, 1999)</w:t>
          </w:r>
          <w:r>
            <w:fldChar w:fldCharType="end"/>
          </w:r>
        </w:sdtContent>
      </w:sdt>
      <w:r>
        <w:t>. This data was sourced from Magenta and Stanley.</w:t>
      </w:r>
    </w:p>
    <w:p w14:paraId="0A20C074" w14:textId="77777777" w:rsidR="00E27669" w:rsidRDefault="00E27669" w:rsidP="00E27669">
      <w:pPr>
        <w:keepNext/>
        <w:jc w:val="center"/>
      </w:pPr>
      <w:r w:rsidRPr="00BD7127">
        <w:rPr>
          <w:noProof/>
        </w:rPr>
        <w:lastRenderedPageBreak/>
        <w:drawing>
          <wp:inline distT="0" distB="0" distL="0" distR="0" wp14:anchorId="4CBE0A8C" wp14:editId="31A76AC9">
            <wp:extent cx="4981575" cy="3714750"/>
            <wp:effectExtent l="0" t="0" r="9525" b="0"/>
            <wp:docPr id="918724584" name="Picture 1" descr="A picture containing text, fon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4584" name="Picture 1" descr="A picture containing text, font, line, diagram&#10;&#10;Description automatically generated"/>
                    <pic:cNvPicPr/>
                  </pic:nvPicPr>
                  <pic:blipFill rotWithShape="1">
                    <a:blip r:embed="rId6"/>
                    <a:srcRect l="6646" r="6437" b="22843"/>
                    <a:stretch/>
                  </pic:blipFill>
                  <pic:spPr bwMode="auto">
                    <a:xfrm>
                      <a:off x="0" y="0"/>
                      <a:ext cx="4981575" cy="3714750"/>
                    </a:xfrm>
                    <a:prstGeom prst="rect">
                      <a:avLst/>
                    </a:prstGeom>
                    <a:ln>
                      <a:noFill/>
                    </a:ln>
                    <a:extLst>
                      <a:ext uri="{53640926-AAD7-44D8-BBD7-CCE9431645EC}">
                        <a14:shadowObscured xmlns:a14="http://schemas.microsoft.com/office/drawing/2010/main"/>
                      </a:ext>
                    </a:extLst>
                  </pic:spPr>
                </pic:pic>
              </a:graphicData>
            </a:graphic>
          </wp:inline>
        </w:drawing>
      </w:r>
    </w:p>
    <w:p w14:paraId="2583CF8D" w14:textId="58A8EF71" w:rsidR="00E27669" w:rsidRDefault="00E27669" w:rsidP="00E27669">
      <w:pPr>
        <w:pStyle w:val="Caption"/>
        <w:jc w:val="center"/>
      </w:pPr>
      <w:bookmarkStart w:id="3" w:name="_Ref138862907"/>
      <w:r>
        <w:t xml:space="preserve">Figure </w:t>
      </w:r>
      <w:r w:rsidR="00BA4E83">
        <w:fldChar w:fldCharType="begin"/>
      </w:r>
      <w:r w:rsidR="00BA4E83">
        <w:instrText xml:space="preserve"> SEQ Figure \* ARABIC </w:instrText>
      </w:r>
      <w:r w:rsidR="00BA4E83">
        <w:fldChar w:fldCharType="separate"/>
      </w:r>
      <w:r w:rsidR="00AE3D0F">
        <w:rPr>
          <w:noProof/>
        </w:rPr>
        <w:t>1</w:t>
      </w:r>
      <w:r w:rsidR="00BA4E83">
        <w:rPr>
          <w:noProof/>
        </w:rPr>
        <w:fldChar w:fldCharType="end"/>
      </w:r>
      <w:bookmarkEnd w:id="3"/>
      <w:r>
        <w:t xml:space="preserve">: </w:t>
      </w:r>
      <w:r w:rsidRPr="00CB1DD4">
        <w:t>Time evolution of the fluid velocity in fully developed turbulence. (a) Time evolution of the wind velocity recorded in the atmosphere at extremely high Reynolds number; the Taylor microscale Reynolds number is of the order of 1,500. The time units are given in arbitrary units. (b) Velocity differences of the time series given in (a).</w:t>
      </w:r>
    </w:p>
    <w:p w14:paraId="52957120" w14:textId="77777777" w:rsidR="00AB1D43" w:rsidRPr="00AB1D43" w:rsidRDefault="00AB1D43" w:rsidP="00AB1D43"/>
    <w:p w14:paraId="3927D60D" w14:textId="77777777" w:rsidR="00AB1D43" w:rsidRDefault="00AB1D43" w:rsidP="008D3F6A">
      <w:pPr>
        <w:pStyle w:val="Heading2"/>
      </w:pPr>
      <w:bookmarkStart w:id="4" w:name="_Ref145345474"/>
      <w:r>
        <w:t>Financial Data Available</w:t>
      </w:r>
      <w:bookmarkEnd w:id="4"/>
    </w:p>
    <w:p w14:paraId="484B8D7C" w14:textId="77777777" w:rsidR="00AB1D43" w:rsidRDefault="00AB1D43" w:rsidP="00AB1D43">
      <w:r>
        <w:t xml:space="preserve">Below is the price variation of the S&amp;P500 stock over a period from </w:t>
      </w:r>
      <w:r w:rsidRPr="00D7423A">
        <w:t>2018-10-15</w:t>
      </w:r>
      <w:r>
        <w:t xml:space="preserve"> to </w:t>
      </w:r>
      <w:r w:rsidRPr="003C3CC0">
        <w:t>2023-06-26</w:t>
      </w:r>
      <w:r>
        <w:t xml:space="preserve">, it was sourced from </w:t>
      </w:r>
      <w:r w:rsidRPr="003C3CC0">
        <w:t>tiingo</w:t>
      </w:r>
      <w:r>
        <w:t>.com. Each timestep is a minute. This data and any numbers generated from this are the work of myself (Fabio Greenwood).</w:t>
      </w:r>
    </w:p>
    <w:p w14:paraId="157FA2F2" w14:textId="77777777" w:rsidR="00AB1D43" w:rsidRDefault="00AB1D43" w:rsidP="00AB1D43">
      <w:pPr>
        <w:keepNext/>
        <w:jc w:val="center"/>
      </w:pPr>
      <w:r w:rsidRPr="002E1A6D">
        <w:rPr>
          <w:noProof/>
        </w:rPr>
        <w:lastRenderedPageBreak/>
        <w:drawing>
          <wp:inline distT="0" distB="0" distL="0" distR="0" wp14:anchorId="74AD6B19" wp14:editId="3BF2A388">
            <wp:extent cx="4964687" cy="4114800"/>
            <wp:effectExtent l="0" t="0" r="7620" b="0"/>
            <wp:docPr id="185178032"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032" name="Picture 1" descr="A picture containing text, diagram, line, plot&#10;&#10;Description automatically generated"/>
                    <pic:cNvPicPr/>
                  </pic:nvPicPr>
                  <pic:blipFill>
                    <a:blip r:embed="rId7"/>
                    <a:stretch>
                      <a:fillRect/>
                    </a:stretch>
                  </pic:blipFill>
                  <pic:spPr>
                    <a:xfrm>
                      <a:off x="0" y="0"/>
                      <a:ext cx="4967857" cy="4117427"/>
                    </a:xfrm>
                    <a:prstGeom prst="rect">
                      <a:avLst/>
                    </a:prstGeom>
                  </pic:spPr>
                </pic:pic>
              </a:graphicData>
            </a:graphic>
          </wp:inline>
        </w:drawing>
      </w:r>
    </w:p>
    <w:p w14:paraId="5C9AC9AC" w14:textId="77D348C2" w:rsidR="00AB1D43" w:rsidRDefault="00AB1D43" w:rsidP="00AB1D43">
      <w:pPr>
        <w:pStyle w:val="Caption"/>
        <w:jc w:val="center"/>
      </w:pPr>
      <w:bookmarkStart w:id="5" w:name="_Ref138863199"/>
      <w:r>
        <w:t xml:space="preserve">Figure </w:t>
      </w:r>
      <w:r w:rsidR="00BA4E83">
        <w:fldChar w:fldCharType="begin"/>
      </w:r>
      <w:r w:rsidR="00BA4E83">
        <w:instrText xml:space="preserve"> SEQ Figure \* ARABIC </w:instrText>
      </w:r>
      <w:r w:rsidR="00BA4E83">
        <w:fldChar w:fldCharType="separate"/>
      </w:r>
      <w:r w:rsidR="00AE3D0F">
        <w:rPr>
          <w:noProof/>
        </w:rPr>
        <w:t>2</w:t>
      </w:r>
      <w:r w:rsidR="00BA4E83">
        <w:rPr>
          <w:noProof/>
        </w:rPr>
        <w:fldChar w:fldCharType="end"/>
      </w:r>
      <w:bookmarkEnd w:id="5"/>
      <w:r>
        <w:t xml:space="preserve">: </w:t>
      </w:r>
      <w:r w:rsidR="009B0D64">
        <w:t xml:space="preserve">(top section) </w:t>
      </w:r>
      <w:r>
        <w:t xml:space="preserve">Time evolution of the S&amp;P 500 index, over the period 15/10/2018 to 26/06/2023. </w:t>
      </w:r>
      <w:r w:rsidR="009B0D64">
        <w:t xml:space="preserve">(bottom section) </w:t>
      </w:r>
      <w:r>
        <w:t>Minutely variations of the S&amp;P 500 index in the same period.</w:t>
      </w:r>
    </w:p>
    <w:p w14:paraId="3937A852" w14:textId="77777777" w:rsidR="00AB1D43" w:rsidRDefault="00AB1D43" w:rsidP="00AB1D43">
      <w:r>
        <w:t>Please note that in this paper the variables are named as such:</w:t>
      </w:r>
    </w:p>
    <w:p w14:paraId="27412DA7" w14:textId="77777777" w:rsidR="00AB1D43" w:rsidRDefault="00AB1D43" w:rsidP="00AB1D43">
      <w:pPr>
        <w:pStyle w:val="ListParagraph"/>
        <w:numPr>
          <w:ilvl w:val="0"/>
          <w:numId w:val="18"/>
        </w:numPr>
      </w:pPr>
      <w:r>
        <w:t>Y – the price of a stock</w:t>
      </w:r>
    </w:p>
    <w:p w14:paraId="0A812DAC" w14:textId="77777777" w:rsidR="00AB1D43" w:rsidRDefault="00AB1D43" w:rsidP="00AB1D43">
      <w:pPr>
        <w:pStyle w:val="ListParagraph"/>
        <w:numPr>
          <w:ilvl w:val="0"/>
          <w:numId w:val="18"/>
        </w:numPr>
      </w:pPr>
      <w:r>
        <w:t>Z – the change or rate of change in price</w:t>
      </w:r>
    </w:p>
    <w:p w14:paraId="18C1D656" w14:textId="77777777" w:rsidR="00AB1D43" w:rsidRDefault="00AB1D43" w:rsidP="00AB1D43">
      <w:pPr>
        <w:pStyle w:val="ListParagraph"/>
        <w:numPr>
          <w:ilvl w:val="0"/>
          <w:numId w:val="18"/>
        </w:numPr>
      </w:pPr>
      <w:r>
        <w:t>V – the wind velocity</w:t>
      </w:r>
    </w:p>
    <w:p w14:paraId="5F485338" w14:textId="77777777" w:rsidR="00AB1D43" w:rsidRDefault="00AB1D43" w:rsidP="00AB1D43">
      <w:pPr>
        <w:pStyle w:val="ListParagraph"/>
        <w:numPr>
          <w:ilvl w:val="0"/>
          <w:numId w:val="18"/>
        </w:numPr>
      </w:pPr>
      <w:r>
        <w:t>U – the change in wind velocity</w:t>
      </w:r>
    </w:p>
    <w:p w14:paraId="75D9ED73" w14:textId="77777777" w:rsidR="00E30A20" w:rsidRDefault="00E30A20" w:rsidP="00E30A20"/>
    <w:p w14:paraId="44773955" w14:textId="5973AD49" w:rsidR="00E30A20" w:rsidRDefault="00E30A20" w:rsidP="008D3F6A">
      <w:pPr>
        <w:pStyle w:val="Heading2"/>
      </w:pPr>
      <w:bookmarkStart w:id="6" w:name="_Ref145154718"/>
      <w:bookmarkStart w:id="7" w:name="_Ref145337940"/>
      <w:r>
        <w:t>Reflection of the Kolmogorov Simplification – Results and Discussion</w:t>
      </w:r>
      <w:bookmarkEnd w:id="6"/>
      <w:bookmarkEnd w:id="7"/>
    </w:p>
    <w:p w14:paraId="2CDF42BA" w14:textId="77777777" w:rsidR="00E30A20" w:rsidRDefault="00E30A20" w:rsidP="00E30A20">
      <w:r>
        <w:t xml:space="preserve">Both data sets were transformed to show the expected standard deviation (change) of fluid velocity or index price, respectively, over different time steps of </w:t>
      </w:r>
      <w:proofErr w:type="spellStart"/>
      <w:r w:rsidRPr="00CE4166">
        <w:t>Δ</w:t>
      </w:r>
      <w:r>
        <w:t>t</w:t>
      </w:r>
      <w:proofErr w:type="spellEnd"/>
      <w:r>
        <w:t xml:space="preserve">. </w:t>
      </w:r>
    </w:p>
    <w:p w14:paraId="0C0FB30A" w14:textId="6691E551" w:rsidR="00E30A20" w:rsidRDefault="00E30A20" w:rsidP="00E30A20">
      <w:r>
        <w:fldChar w:fldCharType="begin"/>
      </w:r>
      <w:r>
        <w:instrText xml:space="preserve"> REF _Ref138592405 \h </w:instrText>
      </w:r>
      <w:r>
        <w:fldChar w:fldCharType="separate"/>
      </w:r>
      <w:r w:rsidR="00AE3D0F">
        <w:t xml:space="preserve">Figure </w:t>
      </w:r>
      <w:r w:rsidR="00AE3D0F">
        <w:rPr>
          <w:noProof/>
        </w:rPr>
        <w:t>3</w:t>
      </w:r>
      <w:r>
        <w:fldChar w:fldCharType="end"/>
      </w:r>
      <w:r>
        <w:t xml:space="preserve"> shows the expected standard deviation of fluid velocity over various </w:t>
      </w:r>
      <w:proofErr w:type="spellStart"/>
      <w:r w:rsidRPr="00CE4166">
        <w:t>Δ</w:t>
      </w:r>
      <w:r>
        <w:t>t</w:t>
      </w:r>
      <w:proofErr w:type="spellEnd"/>
      <w:r>
        <w:t xml:space="preserve"> for the wind data.</w:t>
      </w:r>
    </w:p>
    <w:p w14:paraId="51543576" w14:textId="77777777" w:rsidR="00E30A20" w:rsidRDefault="00E30A20" w:rsidP="00E30A20">
      <w:pPr>
        <w:jc w:val="center"/>
      </w:pPr>
      <w:r>
        <w:rPr>
          <w:noProof/>
        </w:rPr>
        <w:lastRenderedPageBreak/>
        <w:drawing>
          <wp:inline distT="0" distB="0" distL="0" distR="0" wp14:anchorId="26739FE9" wp14:editId="3CCA719B">
            <wp:extent cx="5664778" cy="2257425"/>
            <wp:effectExtent l="0" t="0" r="0" b="0"/>
            <wp:docPr id="977460395" name="Picture 2" descr="A line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60395" name="Picture 2" descr="A line graph with a black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5862" cy="2273797"/>
                    </a:xfrm>
                    <a:prstGeom prst="rect">
                      <a:avLst/>
                    </a:prstGeom>
                    <a:noFill/>
                  </pic:spPr>
                </pic:pic>
              </a:graphicData>
            </a:graphic>
          </wp:inline>
        </w:drawing>
      </w:r>
    </w:p>
    <w:p w14:paraId="2693DDDD" w14:textId="17270036" w:rsidR="00E30A20" w:rsidRPr="00085531" w:rsidRDefault="00E30A20" w:rsidP="00E30A20">
      <w:pPr>
        <w:pStyle w:val="Caption"/>
      </w:pPr>
      <w:bookmarkStart w:id="8" w:name="_Ref138592405"/>
      <w:r>
        <w:t xml:space="preserve">Figure </w:t>
      </w:r>
      <w:r w:rsidR="00BA4E83">
        <w:fldChar w:fldCharType="begin"/>
      </w:r>
      <w:r w:rsidR="00BA4E83">
        <w:instrText xml:space="preserve"> SEQ Figure \* ARABIC </w:instrText>
      </w:r>
      <w:r w:rsidR="00BA4E83">
        <w:fldChar w:fldCharType="separate"/>
      </w:r>
      <w:r w:rsidR="00AE3D0F">
        <w:rPr>
          <w:noProof/>
        </w:rPr>
        <w:t>3</w:t>
      </w:r>
      <w:r w:rsidR="00BA4E83">
        <w:rPr>
          <w:noProof/>
        </w:rPr>
        <w:fldChar w:fldCharType="end"/>
      </w:r>
      <w:bookmarkEnd w:id="8"/>
      <w:r>
        <w:t xml:space="preserve">: </w:t>
      </w:r>
      <w:r w:rsidRPr="00D42D2D">
        <w:t xml:space="preserve">Standard deviation (change) in wind velocity over </w:t>
      </w:r>
      <w:r>
        <w:t xml:space="preserve">a </w:t>
      </w:r>
      <w:r w:rsidRPr="00D42D2D">
        <w:t>given delta v</w:t>
      </w:r>
      <w:r>
        <w:t xml:space="preserve"> for the wind velocity data demonstrated in </w:t>
      </w:r>
      <w:r>
        <w:fldChar w:fldCharType="begin"/>
      </w:r>
      <w:r>
        <w:instrText xml:space="preserve"> REF _Ref138862907 \h </w:instrText>
      </w:r>
      <w:r>
        <w:fldChar w:fldCharType="separate"/>
      </w:r>
      <w:r w:rsidR="00AE3D0F">
        <w:t xml:space="preserve">Figure </w:t>
      </w:r>
      <w:r w:rsidR="00AE3D0F">
        <w:rPr>
          <w:noProof/>
        </w:rPr>
        <w:t>1</w:t>
      </w:r>
      <w:r>
        <w:fldChar w:fldCharType="end"/>
      </w:r>
    </w:p>
    <w:p w14:paraId="11B333A4" w14:textId="36CA97B0" w:rsidR="00E30A20" w:rsidRDefault="00E30A20" w:rsidP="00E30A20">
      <w:r>
        <w:fldChar w:fldCharType="begin"/>
      </w:r>
      <w:r>
        <w:instrText xml:space="preserve"> REF _Ref138592405 \h </w:instrText>
      </w:r>
      <w:r>
        <w:fldChar w:fldCharType="separate"/>
      </w:r>
      <w:r w:rsidR="00AE3D0F">
        <w:t xml:space="preserve">Figure </w:t>
      </w:r>
      <w:r w:rsidR="00AE3D0F">
        <w:rPr>
          <w:noProof/>
        </w:rPr>
        <w:t>3</w:t>
      </w:r>
      <w:r>
        <w:fldChar w:fldCharType="end"/>
      </w:r>
      <w:r>
        <w:t xml:space="preserve"> shows a super diffusive (meaning faster than random spreading) region in the interval shorter than </w:t>
      </w:r>
      <w:proofErr w:type="spellStart"/>
      <w:r w:rsidRPr="00CE4166">
        <w:t>Δ</w:t>
      </w:r>
      <w:r>
        <w:t>t</w:t>
      </w:r>
      <w:proofErr w:type="spellEnd"/>
      <w:r>
        <w:t xml:space="preserve"> = 10 </w:t>
      </w:r>
      <w:proofErr w:type="spellStart"/>
      <w:r>
        <w:t>a.u</w:t>
      </w:r>
      <w:proofErr w:type="spellEnd"/>
      <w:r>
        <w:t>. and after shows a log-log relationship between the two values, when this is compared to the power law:</w:t>
      </w:r>
    </w:p>
    <w:p w14:paraId="22D0D194" w14:textId="77777777" w:rsidR="00E30A20" w:rsidRDefault="00E30A20" w:rsidP="00E30A20">
      <m:oMathPara>
        <m:oMath>
          <m:r>
            <w:rPr>
              <w:rFonts w:ascii="Cambria Math" w:hAnsi="Cambria Math"/>
            </w:rPr>
            <m:t>σ</m:t>
          </m:r>
          <m:d>
            <m:dPr>
              <m:ctrlPr>
                <w:rPr>
                  <w:rFonts w:ascii="Cambria Math" w:hAnsi="Cambria Math"/>
                  <w:i/>
                </w:rPr>
              </m:ctrlPr>
            </m:dPr>
            <m:e>
              <m:r>
                <w:rPr>
                  <w:rFonts w:ascii="Cambria Math" w:hAnsi="Cambria Math"/>
                </w:rPr>
                <m:t>Δt</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Δt</m:t>
                  </m:r>
                </m:e>
              </m:d>
            </m:e>
            <m:sup>
              <m:r>
                <w:rPr>
                  <w:rFonts w:ascii="Cambria Math" w:eastAsiaTheme="minorEastAsia" w:hAnsi="Cambria Math"/>
                </w:rPr>
                <m:t>t</m:t>
              </m:r>
            </m:sup>
          </m:sSup>
        </m:oMath>
      </m:oMathPara>
    </w:p>
    <w:p w14:paraId="4004DAAE" w14:textId="77777777" w:rsidR="00E30A20" w:rsidRDefault="00E30A20" w:rsidP="00E30A20">
      <w:r>
        <w:t>Gives a value for v of 0.33 which is close to the expected value for a fluid of 1/3, confirming the wind demonstrated the expected behaviour outlined by the Kolmogorov equation.</w:t>
      </w:r>
    </w:p>
    <w:p w14:paraId="15461CBB" w14:textId="77777777" w:rsidR="00E30A20" w:rsidRDefault="00E30A20" w:rsidP="00E30A20">
      <w:r>
        <w:t>This when compared to the financial data:</w:t>
      </w:r>
    </w:p>
    <w:p w14:paraId="3DC8EB67" w14:textId="77777777" w:rsidR="00E30A20" w:rsidRDefault="00E30A20" w:rsidP="00E30A20">
      <w:pPr>
        <w:keepNext/>
        <w:jc w:val="center"/>
      </w:pPr>
      <w:r w:rsidRPr="006238C1">
        <w:rPr>
          <w:noProof/>
        </w:rPr>
        <w:drawing>
          <wp:inline distT="0" distB="0" distL="0" distR="0" wp14:anchorId="3D75177B" wp14:editId="5012B129">
            <wp:extent cx="5731510" cy="2647950"/>
            <wp:effectExtent l="0" t="0" r="2540" b="0"/>
            <wp:docPr id="888079208"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9208" name="Picture 1" descr="A picture containing text, line, screenshot, diagram&#10;&#10;Description automatically generated"/>
                    <pic:cNvPicPr/>
                  </pic:nvPicPr>
                  <pic:blipFill rotWithShape="1">
                    <a:blip r:embed="rId9"/>
                    <a:srcRect t="3988" b="49812"/>
                    <a:stretch/>
                  </pic:blipFill>
                  <pic:spPr bwMode="auto">
                    <a:xfrm>
                      <a:off x="0" y="0"/>
                      <a:ext cx="5731510" cy="2647950"/>
                    </a:xfrm>
                    <a:prstGeom prst="rect">
                      <a:avLst/>
                    </a:prstGeom>
                    <a:ln>
                      <a:noFill/>
                    </a:ln>
                    <a:extLst>
                      <a:ext uri="{53640926-AAD7-44D8-BBD7-CCE9431645EC}">
                        <a14:shadowObscured xmlns:a14="http://schemas.microsoft.com/office/drawing/2010/main"/>
                      </a:ext>
                    </a:extLst>
                  </pic:spPr>
                </pic:pic>
              </a:graphicData>
            </a:graphic>
          </wp:inline>
        </w:drawing>
      </w:r>
    </w:p>
    <w:p w14:paraId="5FFBB478" w14:textId="583CD3BF" w:rsidR="00E30A20" w:rsidRDefault="00E30A20" w:rsidP="00E30A20">
      <w:pPr>
        <w:pStyle w:val="Caption"/>
        <w:jc w:val="center"/>
      </w:pPr>
      <w:r>
        <w:t xml:space="preserve">Figure </w:t>
      </w:r>
      <w:r w:rsidR="00BA4E83">
        <w:fldChar w:fldCharType="begin"/>
      </w:r>
      <w:r w:rsidR="00BA4E83">
        <w:instrText xml:space="preserve"> SEQ Figure \* ARABIC </w:instrText>
      </w:r>
      <w:r w:rsidR="00BA4E83">
        <w:fldChar w:fldCharType="separate"/>
      </w:r>
      <w:r w:rsidR="00AE3D0F">
        <w:rPr>
          <w:noProof/>
        </w:rPr>
        <w:t>4</w:t>
      </w:r>
      <w:r w:rsidR="00BA4E83">
        <w:rPr>
          <w:noProof/>
        </w:rPr>
        <w:fldChar w:fldCharType="end"/>
      </w:r>
      <w:r>
        <w:t xml:space="preserve">: </w:t>
      </w:r>
      <w:r w:rsidRPr="00D42D2D">
        <w:t xml:space="preserve">Standard deviation (change) in </w:t>
      </w:r>
      <w:r>
        <w:t xml:space="preserve">S&amp;P 500 index price for a </w:t>
      </w:r>
      <w:r w:rsidRPr="00D42D2D">
        <w:t xml:space="preserve">given </w:t>
      </w:r>
      <w:r>
        <w:t xml:space="preserve">change in time, the data demonstrated in </w:t>
      </w:r>
      <w:r>
        <w:fldChar w:fldCharType="begin"/>
      </w:r>
      <w:r>
        <w:instrText xml:space="preserve"> REF _Ref138863199 \h </w:instrText>
      </w:r>
      <w:r>
        <w:fldChar w:fldCharType="separate"/>
      </w:r>
      <w:r w:rsidR="00AE3D0F">
        <w:t xml:space="preserve">Figure </w:t>
      </w:r>
      <w:r w:rsidR="00AE3D0F">
        <w:rPr>
          <w:noProof/>
        </w:rPr>
        <w:t>2</w:t>
      </w:r>
      <w:r>
        <w:fldChar w:fldCharType="end"/>
      </w:r>
    </w:p>
    <w:p w14:paraId="56474891" w14:textId="77777777" w:rsidR="00E30A20" w:rsidRDefault="00E30A20" w:rsidP="00E30A20">
      <w:r>
        <w:t xml:space="preserve">Here the resolution goes to one minute (10^0), no super diffusive region is observed, it is to be assumed that if does exist, it is at a resolution below the 1 min threshold. </w:t>
      </w:r>
      <w:proofErr w:type="gramStart"/>
      <w:r>
        <w:t>However</w:t>
      </w:r>
      <w:proofErr w:type="gramEnd"/>
      <w:r>
        <w:t xml:space="preserve"> in the region showing a log-log relationship (the whole curve) there is a v value of 0.5. This suggests behaviour like a random walk.</w:t>
      </w:r>
    </w:p>
    <w:p w14:paraId="07B7CEE0" w14:textId="77777777" w:rsidR="00E30A20" w:rsidRDefault="00E30A20" w:rsidP="00E30A20"/>
    <w:p w14:paraId="318825F1" w14:textId="784A1485" w:rsidR="00E30A20" w:rsidRDefault="00E30A20" w:rsidP="00E30A20">
      <w:pPr>
        <w:pStyle w:val="Heading1"/>
      </w:pPr>
      <w:bookmarkStart w:id="9" w:name="_Ref145154720"/>
      <w:r>
        <w:lastRenderedPageBreak/>
        <w:t>L</w:t>
      </w:r>
      <w:r w:rsidRPr="00DB2E04">
        <w:t xml:space="preserve">eptokurtic </w:t>
      </w:r>
      <w:r>
        <w:t>D</w:t>
      </w:r>
      <w:r w:rsidRPr="00DB2E04">
        <w:t>istribution</w:t>
      </w:r>
      <w:bookmarkEnd w:id="9"/>
    </w:p>
    <w:p w14:paraId="4F245BBA" w14:textId="77777777" w:rsidR="00E30A20" w:rsidRDefault="00E30A20" w:rsidP="00E30A20">
      <w:r>
        <w:t>L</w:t>
      </w:r>
      <w:r w:rsidRPr="00DB2E04">
        <w:t>eptokurtic distribution</w:t>
      </w:r>
      <w:r>
        <w:t>s can be characterised as having higher central peaks and a larger probability of producing extreme values (due to having “fat/heavy” tails). When the change in stock price across 1 minute is placed into a histogram, this characteristic shape can be observed:</w:t>
      </w:r>
    </w:p>
    <w:p w14:paraId="40DFCBDB" w14:textId="77777777" w:rsidR="00E30A20" w:rsidRDefault="00E30A20" w:rsidP="00E30A20">
      <w:pPr>
        <w:keepNext/>
        <w:jc w:val="center"/>
      </w:pPr>
      <w:r w:rsidRPr="0031190D">
        <w:rPr>
          <w:noProof/>
        </w:rPr>
        <w:drawing>
          <wp:inline distT="0" distB="0" distL="0" distR="0" wp14:anchorId="782345D0" wp14:editId="7C3A272F">
            <wp:extent cx="5610225" cy="4333875"/>
            <wp:effectExtent l="0" t="0" r="9525" b="9525"/>
            <wp:docPr id="3655851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8512" name="Picture 1" descr="A picture containing text, screenshot, diagram, plot&#10;&#10;Description automatically generated"/>
                    <pic:cNvPicPr/>
                  </pic:nvPicPr>
                  <pic:blipFill>
                    <a:blip r:embed="rId10"/>
                    <a:stretch>
                      <a:fillRect/>
                    </a:stretch>
                  </pic:blipFill>
                  <pic:spPr>
                    <a:xfrm>
                      <a:off x="0" y="0"/>
                      <a:ext cx="5610225" cy="4333875"/>
                    </a:xfrm>
                    <a:prstGeom prst="rect">
                      <a:avLst/>
                    </a:prstGeom>
                  </pic:spPr>
                </pic:pic>
              </a:graphicData>
            </a:graphic>
          </wp:inline>
        </w:drawing>
      </w:r>
    </w:p>
    <w:p w14:paraId="649C6FDE" w14:textId="1D2139B6" w:rsidR="00E30A20" w:rsidRDefault="00E30A20" w:rsidP="00E30A20">
      <w:pPr>
        <w:pStyle w:val="Caption"/>
        <w:jc w:val="center"/>
      </w:pPr>
      <w:bookmarkStart w:id="10" w:name="_Ref145154535"/>
      <w:r>
        <w:t xml:space="preserve">Figure </w:t>
      </w:r>
      <w:r w:rsidR="00BA4E83">
        <w:fldChar w:fldCharType="begin"/>
      </w:r>
      <w:r w:rsidR="00BA4E83">
        <w:instrText xml:space="preserve"> SEQ Figure \* ARABIC </w:instrText>
      </w:r>
      <w:r w:rsidR="00BA4E83">
        <w:fldChar w:fldCharType="separate"/>
      </w:r>
      <w:r w:rsidR="00AE3D0F">
        <w:rPr>
          <w:noProof/>
        </w:rPr>
        <w:t>5</w:t>
      </w:r>
      <w:r w:rsidR="00BA4E83">
        <w:rPr>
          <w:noProof/>
        </w:rPr>
        <w:fldChar w:fldCharType="end"/>
      </w:r>
      <w:bookmarkEnd w:id="10"/>
      <w:r>
        <w:t>: Demonstration of the leptokurtic price change profile</w:t>
      </w:r>
    </w:p>
    <w:p w14:paraId="607C7349" w14:textId="77777777" w:rsidR="00E30A20" w:rsidRDefault="00E30A20" w:rsidP="00E30A20">
      <w:r>
        <w:t>It should be noted that while o</w:t>
      </w:r>
      <w:r w:rsidRPr="00424682">
        <w:t>utliers were excluded for improved chart readability</w:t>
      </w:r>
      <w:r>
        <w:t>, due to the extreme values skewing the chart dimensions, the l</w:t>
      </w:r>
      <w:r w:rsidRPr="00DB2E04">
        <w:t>eptokurtic</w:t>
      </w:r>
      <w:r>
        <w:t xml:space="preserve"> profile is clearly visible. The data used to produce this figure (outliners included) demonstrates a </w:t>
      </w:r>
      <w:r w:rsidRPr="00933956">
        <w:t>kurtosis</w:t>
      </w:r>
      <w:r>
        <w:t xml:space="preserve"> of around 7700, well above the minimum of 3 required for a distribution to be considered l</w:t>
      </w:r>
      <w:r w:rsidRPr="00DB2E04">
        <w:t>eptokurtic</w:t>
      </w:r>
      <w:r>
        <w:t>.</w:t>
      </w:r>
    </w:p>
    <w:p w14:paraId="215F96FB" w14:textId="77777777" w:rsidR="00E30A20" w:rsidRDefault="00E30A20" w:rsidP="00E30A20">
      <w:r>
        <w:t>The slight skew to the positive is due to the general upward trend of stock prices overtime.</w:t>
      </w:r>
    </w:p>
    <w:p w14:paraId="1ECEB9EC" w14:textId="77777777" w:rsidR="009C178B" w:rsidRDefault="009C178B" w:rsidP="00E30A20"/>
    <w:p w14:paraId="263ECAE7" w14:textId="0A6B5F46" w:rsidR="009528C1" w:rsidRDefault="007E43B2" w:rsidP="009528C1">
      <w:pPr>
        <w:pStyle w:val="Heading1"/>
      </w:pPr>
      <w:bookmarkStart w:id="11" w:name="_Ref145155405"/>
      <w:r w:rsidRPr="00C8139C">
        <w:t>Comparison</w:t>
      </w:r>
      <w:r>
        <w:t xml:space="preserve">: </w:t>
      </w:r>
      <w:r w:rsidR="009528C1">
        <w:t>Probability of Return</w:t>
      </w:r>
      <w:bookmarkEnd w:id="11"/>
    </w:p>
    <w:p w14:paraId="51FACF44" w14:textId="77777777" w:rsidR="009528C1" w:rsidRDefault="009528C1" w:rsidP="009528C1">
      <w:r>
        <w:t xml:space="preserve">Another potential study of the PDFs P(Z) and P(U) is to study the “probability of return” to the origin. This will give us a handle on the noise effecting each system, as a high “probability of return” will suggest lower noise. Here the data was taken from the </w:t>
      </w:r>
      <w:r w:rsidRPr="00274D29">
        <w:t xml:space="preserve">Mantegna </w:t>
      </w:r>
      <w:r>
        <w:t xml:space="preserve">and Stanley paper </w:t>
      </w:r>
      <w:sdt>
        <w:sdtPr>
          <w:id w:val="-1233006624"/>
          <w:citation/>
        </w:sdtPr>
        <w:sdtEndPr/>
        <w:sdtContent>
          <w:r>
            <w:fldChar w:fldCharType="begin"/>
          </w:r>
          <w:r>
            <w:instrText xml:space="preserve"> CITATION Sta97 \l 2057 </w:instrText>
          </w:r>
          <w:r>
            <w:fldChar w:fldCharType="separate"/>
          </w:r>
          <w:r>
            <w:rPr>
              <w:noProof/>
            </w:rPr>
            <w:t>(Stanley, Stock market dynamics and turbulence: Parallel analysis of fluctuation phenomena, 1997)</w:t>
          </w:r>
          <w:r>
            <w:fldChar w:fldCharType="end"/>
          </w:r>
        </w:sdtContent>
      </w:sdt>
      <w:r>
        <w:t>.</w:t>
      </w:r>
    </w:p>
    <w:p w14:paraId="1DEE4B42" w14:textId="77777777" w:rsidR="009528C1" w:rsidRDefault="009528C1" w:rsidP="009528C1">
      <w:r>
        <w:t xml:space="preserve">Explicitly we are studying the probability that after </w:t>
      </w:r>
      <w:proofErr w:type="spellStart"/>
      <w:r>
        <w:rPr>
          <w:rFonts w:cstheme="minorHAnsi"/>
        </w:rPr>
        <w:t>Δ</w:t>
      </w:r>
      <w:r>
        <w:t>t</w:t>
      </w:r>
      <w:proofErr w:type="spellEnd"/>
      <w:r>
        <w:t xml:space="preserve"> the values for Y and V are the same. This is the same as p(Z=0) &amp; p(U=0) after </w:t>
      </w:r>
      <w:proofErr w:type="spellStart"/>
      <w:r>
        <w:rPr>
          <w:rFonts w:cstheme="minorHAnsi"/>
        </w:rPr>
        <w:t>Δ</w:t>
      </w:r>
      <w:r>
        <w:t>t</w:t>
      </w:r>
      <w:proofErr w:type="spellEnd"/>
      <w:r>
        <w:t>.</w:t>
      </w:r>
    </w:p>
    <w:p w14:paraId="59C9D780" w14:textId="77777777" w:rsidR="009528C1" w:rsidRDefault="009528C1" w:rsidP="009528C1">
      <w:r>
        <w:lastRenderedPageBreak/>
        <w:t xml:space="preserve">This study is conducted on both data sets and also compared to a perfectly random gaussian process, here notated as </w:t>
      </w:r>
      <w:proofErr w:type="gramStart"/>
      <w:r>
        <w:t>P</w:t>
      </w:r>
      <w:r>
        <w:rPr>
          <w:vertAlign w:val="subscript"/>
        </w:rPr>
        <w:t>g</w:t>
      </w:r>
      <w:r>
        <w:t>(</w:t>
      </w:r>
      <w:proofErr w:type="gramEnd"/>
      <w:r>
        <w:t>0), the hypothetical gaussian process is:</w:t>
      </w:r>
    </w:p>
    <w:p w14:paraId="2F5D3001" w14:textId="77777777" w:rsidR="009528C1" w:rsidRPr="00E55A42" w:rsidRDefault="00BA4E83" w:rsidP="009528C1">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
                    <w:rPr>
                      <w:rFonts w:ascii="Cambria Math" w:hAnsi="Cambria Math"/>
                    </w:rPr>
                    <m:t>π</m:t>
                  </m:r>
                </m:e>
              </m:rad>
              <m:r>
                <w:rPr>
                  <w:rFonts w:ascii="Cambria Math" w:hAnsi="Cambria Math"/>
                </w:rPr>
                <m:t>σ</m:t>
              </m:r>
              <m:r>
                <w:rPr>
                  <w:rFonts w:ascii="Cambria Math" w:hAnsi="Cambria Math"/>
                </w:rPr>
                <m:t>(</m:t>
              </m:r>
              <m:r>
                <m:rPr>
                  <m:sty m:val="p"/>
                </m:rPr>
                <w:rPr>
                  <w:rFonts w:ascii="Cambria Math" w:hAnsi="Cambria Math" w:cstheme="minorHAnsi"/>
                </w:rPr>
                <m:t>Δ</m:t>
              </m:r>
              <m:r>
                <m:rPr>
                  <m:sty m:val="p"/>
                </m:rPr>
                <w:rPr>
                  <w:rFonts w:ascii="Cambria Math" w:hAnsi="Cambria Math"/>
                </w:rPr>
                <m:t>t</m:t>
              </m:r>
              <m:r>
                <m:rPr>
                  <m:sty m:val="p"/>
                </m:rPr>
                <w:rPr>
                  <w:rFonts w:ascii="Cambria Math"/>
                </w:rPr>
                <m:t>)</m:t>
              </m:r>
            </m:den>
          </m:f>
        </m:oMath>
      </m:oMathPara>
    </w:p>
    <w:p w14:paraId="25075C6C" w14:textId="77777777" w:rsidR="009528C1" w:rsidRDefault="009528C1" w:rsidP="009528C1">
      <w:pPr>
        <w:keepNext/>
        <w:jc w:val="center"/>
      </w:pPr>
      <w:r w:rsidRPr="00B67617">
        <w:rPr>
          <w:noProof/>
        </w:rPr>
        <w:drawing>
          <wp:inline distT="0" distB="0" distL="0" distR="0" wp14:anchorId="350219F9" wp14:editId="2CAB3A81">
            <wp:extent cx="3528000" cy="2667600"/>
            <wp:effectExtent l="0" t="0" r="0" b="0"/>
            <wp:docPr id="5" name="Picture 4" descr="A graph of a slope&#10;&#10;Description automatically generated">
              <a:extLst xmlns:a="http://schemas.openxmlformats.org/drawingml/2006/main">
                <a:ext uri="{FF2B5EF4-FFF2-40B4-BE49-F238E27FC236}">
                  <a16:creationId xmlns:a16="http://schemas.microsoft.com/office/drawing/2014/main" id="{CCD66C54-4C25-10C4-6F22-98EB225E5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slope&#10;&#10;Description automatically generated">
                      <a:extLst>
                        <a:ext uri="{FF2B5EF4-FFF2-40B4-BE49-F238E27FC236}">
                          <a16:creationId xmlns:a16="http://schemas.microsoft.com/office/drawing/2014/main" id="{CCD66C54-4C25-10C4-6F22-98EB225E584A}"/>
                        </a:ext>
                      </a:extLst>
                    </pic:cNvPr>
                    <pic:cNvPicPr>
                      <a:picLocks noChangeAspect="1"/>
                    </pic:cNvPicPr>
                  </pic:nvPicPr>
                  <pic:blipFill rotWithShape="1">
                    <a:blip r:embed="rId11">
                      <a:clrChange>
                        <a:clrFrom>
                          <a:srgbClr val="FFFFFF"/>
                        </a:clrFrom>
                        <a:clrTo>
                          <a:srgbClr val="FFFFFF">
                            <a:alpha val="0"/>
                          </a:srgbClr>
                        </a:clrTo>
                      </a:clrChange>
                    </a:blip>
                    <a:srcRect r="2398" b="509"/>
                    <a:stretch/>
                  </pic:blipFill>
                  <pic:spPr>
                    <a:xfrm>
                      <a:off x="0" y="0"/>
                      <a:ext cx="3528000" cy="2667600"/>
                    </a:xfrm>
                    <a:prstGeom prst="rect">
                      <a:avLst/>
                    </a:prstGeom>
                    <a:solidFill>
                      <a:schemeClr val="bg1"/>
                    </a:solidFill>
                  </pic:spPr>
                </pic:pic>
              </a:graphicData>
            </a:graphic>
          </wp:inline>
        </w:drawing>
      </w:r>
    </w:p>
    <w:p w14:paraId="26716EB5" w14:textId="1FDAAA8A" w:rsidR="009528C1" w:rsidRDefault="009528C1" w:rsidP="009528C1">
      <w:pPr>
        <w:pStyle w:val="Caption"/>
        <w:jc w:val="center"/>
      </w:pPr>
      <w:bookmarkStart w:id="12" w:name="_Ref145154503"/>
      <w:r>
        <w:t xml:space="preserve">Figure </w:t>
      </w:r>
      <w:r w:rsidR="00BA4E83">
        <w:fldChar w:fldCharType="begin"/>
      </w:r>
      <w:r w:rsidR="00BA4E83">
        <w:instrText xml:space="preserve"> SEQ Figure \* ARABIC </w:instrText>
      </w:r>
      <w:r w:rsidR="00BA4E83">
        <w:fldChar w:fldCharType="separate"/>
      </w:r>
      <w:r w:rsidR="00AE3D0F">
        <w:rPr>
          <w:noProof/>
        </w:rPr>
        <w:t>6</w:t>
      </w:r>
      <w:r w:rsidR="00BA4E83">
        <w:rPr>
          <w:noProof/>
        </w:rPr>
        <w:fldChar w:fldCharType="end"/>
      </w:r>
      <w:bookmarkEnd w:id="12"/>
      <w:r>
        <w:t>: The probability of return for the economic data, P(Z=0) noted as circles, Pg(Z=0) noted as filled squares and the dotted line as a trendline superimposed on P(Z=0)</w:t>
      </w:r>
    </w:p>
    <w:p w14:paraId="68B0D691" w14:textId="77777777" w:rsidR="009528C1" w:rsidRDefault="009528C1" w:rsidP="009528C1"/>
    <w:p w14:paraId="63245715" w14:textId="77777777" w:rsidR="009528C1" w:rsidRDefault="009528C1" w:rsidP="009528C1">
      <w:pPr>
        <w:keepNext/>
        <w:jc w:val="center"/>
      </w:pPr>
      <w:r w:rsidRPr="00B67617">
        <w:rPr>
          <w:noProof/>
        </w:rPr>
        <w:drawing>
          <wp:inline distT="0" distB="0" distL="0" distR="0" wp14:anchorId="3FF0208F" wp14:editId="7A1DE28A">
            <wp:extent cx="3560400" cy="2667600"/>
            <wp:effectExtent l="0" t="0" r="2540" b="0"/>
            <wp:docPr id="4" name="Picture 3" descr="A graph of a slope&#10;&#10;Description automatically generated">
              <a:extLst xmlns:a="http://schemas.openxmlformats.org/drawingml/2006/main">
                <a:ext uri="{FF2B5EF4-FFF2-40B4-BE49-F238E27FC236}">
                  <a16:creationId xmlns:a16="http://schemas.microsoft.com/office/drawing/2014/main" id="{8CFBAB9C-E503-B837-4796-D5A9AA934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slope&#10;&#10;Description automatically generated">
                      <a:extLst>
                        <a:ext uri="{FF2B5EF4-FFF2-40B4-BE49-F238E27FC236}">
                          <a16:creationId xmlns:a16="http://schemas.microsoft.com/office/drawing/2014/main" id="{8CFBAB9C-E503-B837-4796-D5A9AA9346D1}"/>
                        </a:ext>
                      </a:extLst>
                    </pic:cNvPr>
                    <pic:cNvPicPr>
                      <a:picLocks noChangeAspect="1"/>
                    </pic:cNvPicPr>
                  </pic:nvPicPr>
                  <pic:blipFill rotWithShape="1">
                    <a:blip r:embed="rId12">
                      <a:clrChange>
                        <a:clrFrom>
                          <a:srgbClr val="FFFFFF"/>
                        </a:clrFrom>
                        <a:clrTo>
                          <a:srgbClr val="FFFFFF">
                            <a:alpha val="0"/>
                          </a:srgbClr>
                        </a:clrTo>
                      </a:clrChange>
                    </a:blip>
                    <a:srcRect l="14960" t="17041" r="14675" b="4285"/>
                    <a:stretch/>
                  </pic:blipFill>
                  <pic:spPr>
                    <a:xfrm>
                      <a:off x="0" y="0"/>
                      <a:ext cx="3560400" cy="2667600"/>
                    </a:xfrm>
                    <a:prstGeom prst="rect">
                      <a:avLst/>
                    </a:prstGeom>
                    <a:solidFill>
                      <a:schemeClr val="bg1"/>
                    </a:solidFill>
                  </pic:spPr>
                </pic:pic>
              </a:graphicData>
            </a:graphic>
          </wp:inline>
        </w:drawing>
      </w:r>
    </w:p>
    <w:p w14:paraId="042DBBBD" w14:textId="2581B9E9" w:rsidR="009528C1" w:rsidRDefault="009528C1" w:rsidP="009528C1">
      <w:pPr>
        <w:pStyle w:val="Caption"/>
      </w:pPr>
      <w:bookmarkStart w:id="13" w:name="_Ref145154504"/>
      <w:r>
        <w:t xml:space="preserve">Figure </w:t>
      </w:r>
      <w:r w:rsidR="00BA4E83">
        <w:fldChar w:fldCharType="begin"/>
      </w:r>
      <w:r w:rsidR="00BA4E83">
        <w:instrText xml:space="preserve"> SEQ Figure \* ARABIC </w:instrText>
      </w:r>
      <w:r w:rsidR="00BA4E83">
        <w:fldChar w:fldCharType="separate"/>
      </w:r>
      <w:r w:rsidR="00AE3D0F">
        <w:rPr>
          <w:noProof/>
        </w:rPr>
        <w:t>7</w:t>
      </w:r>
      <w:r w:rsidR="00BA4E83">
        <w:rPr>
          <w:noProof/>
        </w:rPr>
        <w:fldChar w:fldCharType="end"/>
      </w:r>
      <w:bookmarkEnd w:id="13"/>
      <w:r>
        <w:t xml:space="preserve">: </w:t>
      </w:r>
      <w:r w:rsidRPr="00430B5E">
        <w:t xml:space="preserve">The probability of return for the </w:t>
      </w:r>
      <w:r>
        <w:t xml:space="preserve">fluid </w:t>
      </w:r>
      <w:r w:rsidRPr="00430B5E">
        <w:t>data, P(</w:t>
      </w:r>
      <w:r>
        <w:t>U</w:t>
      </w:r>
      <w:r w:rsidRPr="00430B5E">
        <w:t xml:space="preserve">=0) noted as circles, </w:t>
      </w:r>
      <w:proofErr w:type="gramStart"/>
      <w:r w:rsidRPr="00430B5E">
        <w:t>Pg(</w:t>
      </w:r>
      <w:proofErr w:type="gramEnd"/>
      <w:r w:rsidRPr="00430B5E">
        <w:t>0) noted as filled squares and the dotted line as a trendline superimposed on P(</w:t>
      </w:r>
      <w:r>
        <w:t>U</w:t>
      </w:r>
      <w:r w:rsidRPr="00430B5E">
        <w:t>=0)</w:t>
      </w:r>
    </w:p>
    <w:p w14:paraId="698805D8" w14:textId="3A6F9688" w:rsidR="009528C1" w:rsidRDefault="009528C1" w:rsidP="009528C1">
      <w:r>
        <w:t xml:space="preserve">In both </w:t>
      </w:r>
      <w:r>
        <w:fldChar w:fldCharType="begin"/>
      </w:r>
      <w:r>
        <w:instrText xml:space="preserve"> REF _Ref145154503 \h </w:instrText>
      </w:r>
      <w:r>
        <w:fldChar w:fldCharType="separate"/>
      </w:r>
      <w:r w:rsidR="00AE3D0F">
        <w:t xml:space="preserve">Figure </w:t>
      </w:r>
      <w:r w:rsidR="00AE3D0F">
        <w:rPr>
          <w:noProof/>
        </w:rPr>
        <w:t>6</w:t>
      </w:r>
      <w:r>
        <w:fldChar w:fldCharType="end"/>
      </w:r>
      <w:r>
        <w:t xml:space="preserve"> &amp; </w:t>
      </w:r>
      <w:r>
        <w:fldChar w:fldCharType="begin"/>
      </w:r>
      <w:r>
        <w:instrText xml:space="preserve"> REF _Ref145154504 \h </w:instrText>
      </w:r>
      <w:r>
        <w:fldChar w:fldCharType="separate"/>
      </w:r>
      <w:r w:rsidR="00AE3D0F">
        <w:t xml:space="preserve">Figure </w:t>
      </w:r>
      <w:r w:rsidR="00AE3D0F">
        <w:rPr>
          <w:noProof/>
        </w:rPr>
        <w:t>7</w:t>
      </w:r>
      <w:r>
        <w:fldChar w:fldCharType="end"/>
      </w:r>
      <w:r>
        <w:t xml:space="preserve"> there is clear evidence that both the economic and fluid data do not match the gaussian process, as neither match the Pg(0) process. This point as also pointed out by </w:t>
      </w:r>
      <w:r>
        <w:fldChar w:fldCharType="begin"/>
      </w:r>
      <w:r>
        <w:instrText xml:space="preserve"> REF _Ref145154535 \h </w:instrText>
      </w:r>
      <w:r>
        <w:fldChar w:fldCharType="separate"/>
      </w:r>
      <w:r w:rsidR="00AE3D0F">
        <w:t xml:space="preserve">Figure </w:t>
      </w:r>
      <w:r w:rsidR="00AE3D0F">
        <w:rPr>
          <w:noProof/>
        </w:rPr>
        <w:t>5</w:t>
      </w:r>
      <w:r>
        <w:fldChar w:fldCharType="end"/>
      </w:r>
      <w:r>
        <w:t xml:space="preserve">. </w:t>
      </w:r>
      <w:r>
        <w:fldChar w:fldCharType="begin"/>
      </w:r>
      <w:r>
        <w:instrText xml:space="preserve"> REF _Ref145154503 \h </w:instrText>
      </w:r>
      <w:r>
        <w:fldChar w:fldCharType="separate"/>
      </w:r>
      <w:r w:rsidR="00AE3D0F">
        <w:t xml:space="preserve">Figure </w:t>
      </w:r>
      <w:r w:rsidR="00AE3D0F">
        <w:rPr>
          <w:noProof/>
        </w:rPr>
        <w:t>6</w:t>
      </w:r>
      <w:r>
        <w:fldChar w:fldCharType="end"/>
      </w:r>
      <w:r>
        <w:t xml:space="preserve"> shows a curve compatible with a levy stable process, suggesting like discussed in sections</w:t>
      </w:r>
      <w:r>
        <w:fldChar w:fldCharType="begin"/>
      </w:r>
      <w:r>
        <w:instrText xml:space="preserve"> REF _Ref145154718 \r \h </w:instrText>
      </w:r>
      <w:r>
        <w:fldChar w:fldCharType="separate"/>
      </w:r>
      <w:r w:rsidR="00AE3D0F">
        <w:t>3.3</w:t>
      </w:r>
      <w:r>
        <w:fldChar w:fldCharType="end"/>
      </w:r>
      <w:r>
        <w:t xml:space="preserve"> &amp;</w:t>
      </w:r>
      <w:r>
        <w:fldChar w:fldCharType="begin"/>
      </w:r>
      <w:r>
        <w:instrText xml:space="preserve"> REF _Ref145154720 \r \h </w:instrText>
      </w:r>
      <w:r>
        <w:fldChar w:fldCharType="separate"/>
      </w:r>
      <w:r w:rsidR="00AE3D0F">
        <w:t>4</w:t>
      </w:r>
      <w:r>
        <w:fldChar w:fldCharType="end"/>
      </w:r>
      <w:r>
        <w:t xml:space="preserve"> that the financial data follows a random walk, with fat tails. </w:t>
      </w:r>
      <w:r>
        <w:fldChar w:fldCharType="begin"/>
      </w:r>
      <w:r>
        <w:instrText xml:space="preserve"> REF _Ref145154504 \h </w:instrText>
      </w:r>
      <w:r>
        <w:fldChar w:fldCharType="separate"/>
      </w:r>
      <w:r w:rsidR="00AE3D0F">
        <w:t xml:space="preserve">Figure </w:t>
      </w:r>
      <w:r w:rsidR="00AE3D0F">
        <w:rPr>
          <w:noProof/>
        </w:rPr>
        <w:t>7</w:t>
      </w:r>
      <w:r>
        <w:fldChar w:fldCharType="end"/>
      </w:r>
      <w:r>
        <w:t xml:space="preserve">, the fluid data again doesn’t show a random walk, as it doesn’t fit its trendline, again there is a higher probability of return in both </w:t>
      </w:r>
      <w:proofErr w:type="gramStart"/>
      <w:r>
        <w:t>short and longer term</w:t>
      </w:r>
      <w:proofErr w:type="gramEnd"/>
      <w:r>
        <w:t xml:space="preserve"> windows. This is likely because of viscous forces in the short term and the fact that the fluid data will </w:t>
      </w:r>
      <w:r>
        <w:lastRenderedPageBreak/>
        <w:t xml:space="preserve">tend to return to its original value in the short term, unlike a random walk (that doesn’t have such a bias). </w:t>
      </w:r>
      <w:proofErr w:type="gramStart"/>
      <w:r>
        <w:t>Also</w:t>
      </w:r>
      <w:proofErr w:type="gramEnd"/>
      <w:r>
        <w:t xml:space="preserve"> the fluids shows a slightly smaller tendency for extreme changes.</w:t>
      </w:r>
    </w:p>
    <w:p w14:paraId="2255148D" w14:textId="77777777" w:rsidR="009528C1" w:rsidRDefault="009528C1" w:rsidP="009528C1"/>
    <w:p w14:paraId="5F106D41" w14:textId="77777777" w:rsidR="001A774D" w:rsidRDefault="001A774D" w:rsidP="001A774D">
      <w:pPr>
        <w:pStyle w:val="Heading1"/>
      </w:pPr>
      <w:r>
        <w:t>Conclusion</w:t>
      </w:r>
    </w:p>
    <w:p w14:paraId="143C3879" w14:textId="62B52660" w:rsidR="001A774D" w:rsidRDefault="001A774D" w:rsidP="001A774D">
      <w:r>
        <w:t xml:space="preserve">As discussed in the opening section of this paper, while there are some qualitative similarities between turbulence in the stock market and fluid turbulence, quantitatively some the basic statistical techniques suggest that stock market turbulence is random while fluid turbulence to the same techniques doesn’t seem random. It should be noted that this is only talking </w:t>
      </w:r>
      <w:r w:rsidR="006D302E">
        <w:t xml:space="preserve">about </w:t>
      </w:r>
      <w:r w:rsidR="00F924DF">
        <w:t xml:space="preserve">when </w:t>
      </w:r>
      <w:r w:rsidR="007661E2">
        <w:t xml:space="preserve">examined using the </w:t>
      </w:r>
      <w:r>
        <w:t>techniques applied in this paper.</w:t>
      </w:r>
    </w:p>
    <w:p w14:paraId="2545F387" w14:textId="137629DA" w:rsidR="007661E2" w:rsidRDefault="007661E2" w:rsidP="001A774D">
      <w:r>
        <w:t xml:space="preserve">Section </w:t>
      </w:r>
      <w:r w:rsidR="00962BEC">
        <w:fldChar w:fldCharType="begin"/>
      </w:r>
      <w:r w:rsidR="00962BEC">
        <w:instrText xml:space="preserve"> REF _Ref145154718 \r \h </w:instrText>
      </w:r>
      <w:r w:rsidR="00962BEC">
        <w:fldChar w:fldCharType="separate"/>
      </w:r>
      <w:r w:rsidR="00AE3D0F">
        <w:t>3.3</w:t>
      </w:r>
      <w:r w:rsidR="00962BEC">
        <w:fldChar w:fldCharType="end"/>
      </w:r>
      <w:r w:rsidR="00962BEC">
        <w:t xml:space="preserve"> shows that </w:t>
      </w:r>
      <w:r w:rsidR="00C81248">
        <w:t xml:space="preserve">while the fluid data confirms the predictions made my Kolmogorov, the financial data </w:t>
      </w:r>
      <w:r w:rsidR="00321619">
        <w:t xml:space="preserve">appears </w:t>
      </w:r>
      <w:proofErr w:type="gramStart"/>
      <w:r w:rsidR="00321619">
        <w:t>similar to</w:t>
      </w:r>
      <w:proofErr w:type="gramEnd"/>
      <w:r w:rsidR="00321619">
        <w:t xml:space="preserve"> a </w:t>
      </w:r>
      <w:r w:rsidR="00C81248">
        <w:t>random</w:t>
      </w:r>
      <w:r w:rsidR="00321619">
        <w:t xml:space="preserve"> walk.</w:t>
      </w:r>
    </w:p>
    <w:p w14:paraId="119F4FD2" w14:textId="55164753" w:rsidR="007661E2" w:rsidRDefault="00321619" w:rsidP="001A774D">
      <w:r>
        <w:t xml:space="preserve">Section </w:t>
      </w:r>
      <w:r>
        <w:fldChar w:fldCharType="begin"/>
      </w:r>
      <w:r>
        <w:instrText xml:space="preserve"> REF _Ref145155405 \r \h </w:instrText>
      </w:r>
      <w:r>
        <w:fldChar w:fldCharType="separate"/>
      </w:r>
      <w:r w:rsidR="00AE3D0F">
        <w:t>5</w:t>
      </w:r>
      <w:r>
        <w:fldChar w:fldCharType="end"/>
      </w:r>
      <w:r>
        <w:t xml:space="preserve"> </w:t>
      </w:r>
      <w:r w:rsidR="00C23CA4">
        <w:t xml:space="preserve">again shows that the financial data appears close to a random walk, where as the fluid data in short </w:t>
      </w:r>
      <w:r w:rsidR="00F55D2A">
        <w:t xml:space="preserve">and longer intervals is more likely to return to the original values. This is likely because of the in the short term, there are small scale viscous forces at work and </w:t>
      </w:r>
      <w:r w:rsidR="006D302E">
        <w:t>in</w:t>
      </w:r>
      <w:r w:rsidR="00F55D2A">
        <w:t xml:space="preserve"> the long</w:t>
      </w:r>
      <w:r w:rsidR="006D302E">
        <w:t>er</w:t>
      </w:r>
      <w:r w:rsidR="00F55D2A">
        <w:t xml:space="preserve"> term</w:t>
      </w:r>
      <w:r w:rsidR="006D302E">
        <w:t xml:space="preserve"> the </w:t>
      </w:r>
      <w:r w:rsidR="00C8792E">
        <w:t>average fluid speed is fixed, whereas the financial data is constantly raising</w:t>
      </w:r>
      <w:r w:rsidR="009323B5">
        <w:t xml:space="preserve"> along an average trend</w:t>
      </w:r>
      <w:r w:rsidR="00C8792E">
        <w:t>.</w:t>
      </w:r>
    </w:p>
    <w:p w14:paraId="01B65391" w14:textId="2CAD6A80" w:rsidR="001A774D" w:rsidRDefault="00455322" w:rsidP="001A774D">
      <w:r>
        <w:t xml:space="preserve">But examining the charts in sections </w:t>
      </w:r>
      <w:r>
        <w:fldChar w:fldCharType="begin"/>
      </w:r>
      <w:r>
        <w:instrText xml:space="preserve"> REF _Ref145345467 \r \h </w:instrText>
      </w:r>
      <w:r>
        <w:fldChar w:fldCharType="separate"/>
      </w:r>
      <w:r w:rsidR="00AE3D0F">
        <w:t>3.1</w:t>
      </w:r>
      <w:r>
        <w:fldChar w:fldCharType="end"/>
      </w:r>
      <w:r>
        <w:t xml:space="preserve"> &amp; </w:t>
      </w:r>
      <w:r>
        <w:fldChar w:fldCharType="begin"/>
      </w:r>
      <w:r>
        <w:instrText xml:space="preserve"> REF _Ref145345474 \r \h </w:instrText>
      </w:r>
      <w:r>
        <w:fldChar w:fldCharType="separate"/>
      </w:r>
      <w:r w:rsidR="00AE3D0F">
        <w:t>3.2</w:t>
      </w:r>
      <w:r>
        <w:fldChar w:fldCharType="end"/>
      </w:r>
      <w:r>
        <w:t xml:space="preserve"> </w:t>
      </w:r>
      <w:r w:rsidR="008D5D99">
        <w:t xml:space="preserve">can quite quickly demonstrate </w:t>
      </w:r>
      <w:r w:rsidR="00950DDA">
        <w:t xml:space="preserve">reasons for the differences between the two data sets in the examinations just discussed, </w:t>
      </w:r>
      <w:r w:rsidR="000B2FE4">
        <w:t xml:space="preserve">the financial data set has both large jumps and an overall trend, </w:t>
      </w:r>
      <w:r w:rsidR="009323B5">
        <w:t>unlike the fluid date.</w:t>
      </w:r>
      <w:r w:rsidR="00600268">
        <w:t xml:space="preserve"> </w:t>
      </w:r>
    </w:p>
    <w:p w14:paraId="326506D2" w14:textId="3C61F3BE" w:rsidR="00600268" w:rsidRDefault="00600268" w:rsidP="001A774D">
      <w:r>
        <w:t xml:space="preserve">In </w:t>
      </w:r>
      <w:r w:rsidR="002F7FCF">
        <w:t>conclusion</w:t>
      </w:r>
      <w:r>
        <w:t xml:space="preserve">, while there are qualitative differences between </w:t>
      </w:r>
      <w:r w:rsidR="009B5B7E">
        <w:t xml:space="preserve">fluid and stock market turbulence, on a </w:t>
      </w:r>
      <w:r w:rsidR="00795407">
        <w:t xml:space="preserve">quantitative </w:t>
      </w:r>
      <w:r w:rsidR="009B5B7E">
        <w:t xml:space="preserve">level, this paper finds that there are less similarities at a </w:t>
      </w:r>
      <w:r w:rsidR="002F7FCF">
        <w:t xml:space="preserve">close examination. </w:t>
      </w:r>
      <w:r w:rsidR="00795407">
        <w:t xml:space="preserve">This isn’t to say that there aren’t </w:t>
      </w:r>
      <w:r w:rsidR="007370D1">
        <w:t xml:space="preserve">similarities </w:t>
      </w:r>
      <w:r w:rsidR="00795407">
        <w:t xml:space="preserve">however more examination </w:t>
      </w:r>
      <w:r w:rsidR="009323B5">
        <w:t>of</w:t>
      </w:r>
      <w:r w:rsidR="00795407">
        <w:t xml:space="preserve"> this subject is needed</w:t>
      </w:r>
      <w:r w:rsidR="009323B5">
        <w:t xml:space="preserve"> to find </w:t>
      </w:r>
      <w:r w:rsidR="007370D1">
        <w:t>these if they exist</w:t>
      </w:r>
      <w:r w:rsidR="00795407">
        <w:t>.</w:t>
      </w:r>
    </w:p>
    <w:p w14:paraId="0415091A" w14:textId="78FA5E10" w:rsidR="007370D1" w:rsidRDefault="007370D1">
      <w:r>
        <w:br w:type="page"/>
      </w:r>
    </w:p>
    <w:sdt>
      <w:sdtPr>
        <w:rPr>
          <w:rFonts w:asciiTheme="minorHAnsi" w:eastAsiaTheme="minorHAnsi" w:hAnsiTheme="minorHAnsi" w:cstheme="minorBidi"/>
          <w:b w:val="0"/>
          <w:color w:val="auto"/>
          <w:sz w:val="22"/>
          <w:szCs w:val="22"/>
        </w:rPr>
        <w:id w:val="156661895"/>
        <w:docPartObj>
          <w:docPartGallery w:val="Bibliographies"/>
          <w:docPartUnique/>
        </w:docPartObj>
      </w:sdtPr>
      <w:sdtEndPr>
        <w:rPr>
          <w:rFonts w:ascii="Arial" w:hAnsi="Arial"/>
        </w:rPr>
      </w:sdtEndPr>
      <w:sdtContent>
        <w:p w14:paraId="4AB08DE2" w14:textId="77777777" w:rsidR="001A774D" w:rsidRDefault="001A774D" w:rsidP="001A774D">
          <w:pPr>
            <w:pStyle w:val="Heading1"/>
            <w:numPr>
              <w:ilvl w:val="0"/>
              <w:numId w:val="0"/>
            </w:numPr>
            <w:ind w:left="360" w:hanging="360"/>
          </w:pPr>
          <w:r>
            <w:t>Bibliography</w:t>
          </w:r>
        </w:p>
        <w:sdt>
          <w:sdtPr>
            <w:rPr>
              <w:kern w:val="2"/>
              <w14:ligatures w14:val="standardContextual"/>
            </w:rPr>
            <w:id w:val="111145805"/>
            <w:bibliography/>
          </w:sdtPr>
          <w:sdtEndPr/>
          <w:sdtContent>
            <w:p w14:paraId="723FF762" w14:textId="77777777" w:rsidR="001A774D" w:rsidRDefault="001A774D" w:rsidP="001A774D">
              <w:pPr>
                <w:pStyle w:val="Bibliography"/>
                <w:ind w:left="720" w:hanging="720"/>
                <w:rPr>
                  <w:noProof/>
                  <w:sz w:val="24"/>
                  <w:szCs w:val="24"/>
                </w:rPr>
              </w:pPr>
              <w:r>
                <w:fldChar w:fldCharType="begin"/>
              </w:r>
              <w:r>
                <w:instrText xml:space="preserve"> BIBLIOGRAPHY </w:instrText>
              </w:r>
              <w:r>
                <w:fldChar w:fldCharType="separate"/>
              </w:r>
              <w:r>
                <w:rPr>
                  <w:noProof/>
                </w:rPr>
                <w:t xml:space="preserve">Cheng, Y. (2017, April 18). </w:t>
              </w:r>
              <w:r>
                <w:rPr>
                  <w:i/>
                  <w:iCs/>
                  <w:noProof/>
                </w:rPr>
                <w:t>Failure of Taylor's hypothesis in the atmospheric surface layer and its correction for eddy-covariance measurements.</w:t>
              </w:r>
              <w:r>
                <w:rPr>
                  <w:noProof/>
                </w:rPr>
                <w:t xml:space="preserve"> Retrieved from Advancing Earth And Space Science: https://agupubs.onlinelibrary.wiley.com/doi/10.1002/2017GL073499#:~:text=Taylors'%20frozen%20turbulence%20hypothesis%20suggests,a%20single%20point%20in%20space.</w:t>
              </w:r>
            </w:p>
            <w:p w14:paraId="1B026B1B" w14:textId="77777777" w:rsidR="001A774D" w:rsidRDefault="001A774D" w:rsidP="001A774D">
              <w:pPr>
                <w:pStyle w:val="Bibliography"/>
                <w:ind w:left="720" w:hanging="720"/>
                <w:rPr>
                  <w:noProof/>
                </w:rPr>
              </w:pPr>
              <w:r>
                <w:rPr>
                  <w:noProof/>
                </w:rPr>
                <w:t xml:space="preserve">Stanley, R. N. (1997). Stock market dynamics and turbulence: Parallel analysis of fluctuation phenomena. </w:t>
              </w:r>
              <w:r>
                <w:rPr>
                  <w:i/>
                  <w:iCs/>
                  <w:noProof/>
                </w:rPr>
                <w:t>Physica A: Statistical Mechanics and its Applications</w:t>
              </w:r>
              <w:r>
                <w:rPr>
                  <w:noProof/>
                </w:rPr>
                <w:t>.</w:t>
              </w:r>
            </w:p>
            <w:p w14:paraId="46D3B211" w14:textId="77777777" w:rsidR="001A774D" w:rsidRDefault="001A774D" w:rsidP="001A774D">
              <w:pPr>
                <w:pStyle w:val="Bibliography"/>
                <w:ind w:left="720" w:hanging="720"/>
                <w:rPr>
                  <w:noProof/>
                </w:rPr>
              </w:pPr>
              <w:r>
                <w:rPr>
                  <w:noProof/>
                </w:rPr>
                <w:t xml:space="preserve">Stanley, R. N. (1999). </w:t>
              </w:r>
              <w:r>
                <w:rPr>
                  <w:i/>
                  <w:iCs/>
                  <w:noProof/>
                </w:rPr>
                <w:t>An Introduction to Enconophysics: Correclations and Complexity in Finance.</w:t>
              </w:r>
              <w:r>
                <w:rPr>
                  <w:noProof/>
                </w:rPr>
                <w:t xml:space="preserve"> The Press Syndicate of the University of Cambridge.</w:t>
              </w:r>
            </w:p>
            <w:p w14:paraId="4263060D" w14:textId="77777777" w:rsidR="001A774D" w:rsidRDefault="001A774D" w:rsidP="001A774D">
              <w:r>
                <w:rPr>
                  <w:b/>
                  <w:bCs/>
                  <w:noProof/>
                </w:rPr>
                <w:fldChar w:fldCharType="end"/>
              </w:r>
            </w:p>
          </w:sdtContent>
        </w:sdt>
      </w:sdtContent>
    </w:sdt>
    <w:p w14:paraId="6BEBEC53" w14:textId="77777777" w:rsidR="001A774D" w:rsidRPr="00A21152" w:rsidRDefault="001A774D" w:rsidP="001A774D"/>
    <w:p w14:paraId="361D3F97" w14:textId="77777777" w:rsidR="00FE5779" w:rsidRPr="00072E1C" w:rsidRDefault="00FE5779" w:rsidP="009F459C"/>
    <w:sectPr w:rsidR="00FE5779" w:rsidRPr="00072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4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F0A18"/>
    <w:multiLevelType w:val="hybridMultilevel"/>
    <w:tmpl w:val="E43A1F18"/>
    <w:lvl w:ilvl="0" w:tplc="621C2A10">
      <w:start w:val="1"/>
      <w:numFmt w:val="decimal"/>
      <w:lvlText w:val="1.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64A0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5327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5B0A77"/>
    <w:multiLevelType w:val="multilevel"/>
    <w:tmpl w:val="1F9AB43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C17E9"/>
    <w:multiLevelType w:val="hybridMultilevel"/>
    <w:tmpl w:val="D54AF80C"/>
    <w:lvl w:ilvl="0" w:tplc="BC9892E8">
      <w:start w:val="1"/>
      <w:numFmt w:val="decimal"/>
      <w:lvlText w:val="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955A5E"/>
    <w:multiLevelType w:val="hybridMultilevel"/>
    <w:tmpl w:val="0D444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873BD5"/>
    <w:multiLevelType w:val="multilevel"/>
    <w:tmpl w:val="1F9AB43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B47E74"/>
    <w:multiLevelType w:val="multilevel"/>
    <w:tmpl w:val="1F9AB43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0477F8"/>
    <w:multiLevelType w:val="hybridMultilevel"/>
    <w:tmpl w:val="5352FB30"/>
    <w:lvl w:ilvl="0" w:tplc="02A6D35E">
      <w:start w:val="1"/>
      <w:numFmt w:val="decimal"/>
      <w:lvlText w:val="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F266C"/>
    <w:multiLevelType w:val="hybridMultilevel"/>
    <w:tmpl w:val="7D247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0F0B30"/>
    <w:multiLevelType w:val="hybridMultilevel"/>
    <w:tmpl w:val="C77EBFDA"/>
    <w:lvl w:ilvl="0" w:tplc="BC9892E8">
      <w:start w:val="1"/>
      <w:numFmt w:val="decimal"/>
      <w:lvlText w:val="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7943A5C"/>
    <w:multiLevelType w:val="hybridMultilevel"/>
    <w:tmpl w:val="51C0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A6518F"/>
    <w:multiLevelType w:val="hybridMultilevel"/>
    <w:tmpl w:val="5BDE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FF4074"/>
    <w:multiLevelType w:val="hybridMultilevel"/>
    <w:tmpl w:val="BB38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F3E62"/>
    <w:multiLevelType w:val="hybridMultilevel"/>
    <w:tmpl w:val="09C0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AD60C9"/>
    <w:multiLevelType w:val="multilevel"/>
    <w:tmpl w:val="1F9AB43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563C8E"/>
    <w:multiLevelType w:val="multilevel"/>
    <w:tmpl w:val="C65644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986FF8"/>
    <w:multiLevelType w:val="hybridMultilevel"/>
    <w:tmpl w:val="9D60D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CA51829"/>
    <w:multiLevelType w:val="hybridMultilevel"/>
    <w:tmpl w:val="1AB03B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29723269">
    <w:abstractNumId w:val="1"/>
  </w:num>
  <w:num w:numId="2" w16cid:durableId="2009481629">
    <w:abstractNumId w:val="17"/>
  </w:num>
  <w:num w:numId="3" w16cid:durableId="1998611237">
    <w:abstractNumId w:val="13"/>
  </w:num>
  <w:num w:numId="4" w16cid:durableId="613443070">
    <w:abstractNumId w:val="2"/>
  </w:num>
  <w:num w:numId="5" w16cid:durableId="1647323219">
    <w:abstractNumId w:val="0"/>
  </w:num>
  <w:num w:numId="6" w16cid:durableId="1092504661">
    <w:abstractNumId w:val="16"/>
  </w:num>
  <w:num w:numId="7" w16cid:durableId="798184691">
    <w:abstractNumId w:val="8"/>
  </w:num>
  <w:num w:numId="8" w16cid:durableId="416900273">
    <w:abstractNumId w:val="7"/>
  </w:num>
  <w:num w:numId="9" w16cid:durableId="269825488">
    <w:abstractNumId w:val="5"/>
  </w:num>
  <w:num w:numId="10" w16cid:durableId="2051684293">
    <w:abstractNumId w:val="11"/>
  </w:num>
  <w:num w:numId="11" w16cid:durableId="533348340">
    <w:abstractNumId w:val="9"/>
  </w:num>
  <w:num w:numId="12" w16cid:durableId="1549998041">
    <w:abstractNumId w:val="3"/>
  </w:num>
  <w:num w:numId="13" w16cid:durableId="611089393">
    <w:abstractNumId w:val="4"/>
  </w:num>
  <w:num w:numId="14" w16cid:durableId="1152134262">
    <w:abstractNumId w:val="15"/>
  </w:num>
  <w:num w:numId="15" w16cid:durableId="1505896419">
    <w:abstractNumId w:val="19"/>
  </w:num>
  <w:num w:numId="16" w16cid:durableId="146559630">
    <w:abstractNumId w:val="12"/>
  </w:num>
  <w:num w:numId="17" w16cid:durableId="636879430">
    <w:abstractNumId w:val="18"/>
  </w:num>
  <w:num w:numId="18" w16cid:durableId="2136672377">
    <w:abstractNumId w:val="14"/>
  </w:num>
  <w:num w:numId="19" w16cid:durableId="164056516">
    <w:abstractNumId w:val="10"/>
  </w:num>
  <w:num w:numId="20" w16cid:durableId="2126927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9"/>
    <w:rsid w:val="00016FAB"/>
    <w:rsid w:val="00051132"/>
    <w:rsid w:val="00053270"/>
    <w:rsid w:val="000664B3"/>
    <w:rsid w:val="0007157C"/>
    <w:rsid w:val="00072E1C"/>
    <w:rsid w:val="0009189E"/>
    <w:rsid w:val="000B2FE4"/>
    <w:rsid w:val="000B39D0"/>
    <w:rsid w:val="000B5513"/>
    <w:rsid w:val="000B7551"/>
    <w:rsid w:val="000C79D0"/>
    <w:rsid w:val="000D06CA"/>
    <w:rsid w:val="000D1AA1"/>
    <w:rsid w:val="000E368E"/>
    <w:rsid w:val="00133E8D"/>
    <w:rsid w:val="001378C7"/>
    <w:rsid w:val="00146A40"/>
    <w:rsid w:val="00154961"/>
    <w:rsid w:val="00184F10"/>
    <w:rsid w:val="00186AD2"/>
    <w:rsid w:val="0018799B"/>
    <w:rsid w:val="00191EFD"/>
    <w:rsid w:val="00192FD5"/>
    <w:rsid w:val="00195047"/>
    <w:rsid w:val="001A29A6"/>
    <w:rsid w:val="001A62BF"/>
    <w:rsid w:val="001A774D"/>
    <w:rsid w:val="001C21E6"/>
    <w:rsid w:val="001D447D"/>
    <w:rsid w:val="001E6068"/>
    <w:rsid w:val="001F75B5"/>
    <w:rsid w:val="00200EA1"/>
    <w:rsid w:val="00227EBC"/>
    <w:rsid w:val="00257C79"/>
    <w:rsid w:val="00257FB8"/>
    <w:rsid w:val="00264975"/>
    <w:rsid w:val="00266AB1"/>
    <w:rsid w:val="0027324F"/>
    <w:rsid w:val="00277AE3"/>
    <w:rsid w:val="00281E60"/>
    <w:rsid w:val="00290F35"/>
    <w:rsid w:val="002A6BAE"/>
    <w:rsid w:val="002D1A8D"/>
    <w:rsid w:val="002D6E09"/>
    <w:rsid w:val="002F377E"/>
    <w:rsid w:val="002F7FCF"/>
    <w:rsid w:val="003004AE"/>
    <w:rsid w:val="0030649C"/>
    <w:rsid w:val="003102AE"/>
    <w:rsid w:val="003213A5"/>
    <w:rsid w:val="00321619"/>
    <w:rsid w:val="0032577F"/>
    <w:rsid w:val="003302E3"/>
    <w:rsid w:val="00334C25"/>
    <w:rsid w:val="003359C5"/>
    <w:rsid w:val="00345143"/>
    <w:rsid w:val="003472B2"/>
    <w:rsid w:val="003510FF"/>
    <w:rsid w:val="0037010E"/>
    <w:rsid w:val="00372941"/>
    <w:rsid w:val="003A4FCB"/>
    <w:rsid w:val="003A555C"/>
    <w:rsid w:val="003B0F69"/>
    <w:rsid w:val="003B6B1F"/>
    <w:rsid w:val="003C3DEE"/>
    <w:rsid w:val="003E7B16"/>
    <w:rsid w:val="004020E2"/>
    <w:rsid w:val="004278FD"/>
    <w:rsid w:val="00427EF0"/>
    <w:rsid w:val="00431AC0"/>
    <w:rsid w:val="00442CA4"/>
    <w:rsid w:val="00455322"/>
    <w:rsid w:val="004A134D"/>
    <w:rsid w:val="004A59B7"/>
    <w:rsid w:val="004C36B3"/>
    <w:rsid w:val="004C6FFF"/>
    <w:rsid w:val="004E21A8"/>
    <w:rsid w:val="004F3CF9"/>
    <w:rsid w:val="00515774"/>
    <w:rsid w:val="00521A37"/>
    <w:rsid w:val="00523778"/>
    <w:rsid w:val="00537CD9"/>
    <w:rsid w:val="00547924"/>
    <w:rsid w:val="00561859"/>
    <w:rsid w:val="00572F21"/>
    <w:rsid w:val="00586F8F"/>
    <w:rsid w:val="00587404"/>
    <w:rsid w:val="005A6D9F"/>
    <w:rsid w:val="005C55F0"/>
    <w:rsid w:val="005C7731"/>
    <w:rsid w:val="005D0FD4"/>
    <w:rsid w:val="005E3BA7"/>
    <w:rsid w:val="005E473C"/>
    <w:rsid w:val="005E4DC2"/>
    <w:rsid w:val="00600268"/>
    <w:rsid w:val="0062711A"/>
    <w:rsid w:val="00660C91"/>
    <w:rsid w:val="00685018"/>
    <w:rsid w:val="00686A4D"/>
    <w:rsid w:val="0069306F"/>
    <w:rsid w:val="00697C6D"/>
    <w:rsid w:val="006C4224"/>
    <w:rsid w:val="006D015A"/>
    <w:rsid w:val="006D302E"/>
    <w:rsid w:val="006E4716"/>
    <w:rsid w:val="006F0FC4"/>
    <w:rsid w:val="0072606D"/>
    <w:rsid w:val="00733B2D"/>
    <w:rsid w:val="00734B76"/>
    <w:rsid w:val="00735F92"/>
    <w:rsid w:val="007370D1"/>
    <w:rsid w:val="007457F5"/>
    <w:rsid w:val="00746396"/>
    <w:rsid w:val="00750E28"/>
    <w:rsid w:val="007655D6"/>
    <w:rsid w:val="007661E2"/>
    <w:rsid w:val="0077128B"/>
    <w:rsid w:val="00771568"/>
    <w:rsid w:val="00774F7D"/>
    <w:rsid w:val="00776EA4"/>
    <w:rsid w:val="00792D1C"/>
    <w:rsid w:val="00792F83"/>
    <w:rsid w:val="00795407"/>
    <w:rsid w:val="007B2A76"/>
    <w:rsid w:val="007C7520"/>
    <w:rsid w:val="007E43B2"/>
    <w:rsid w:val="007F0271"/>
    <w:rsid w:val="007F0CEB"/>
    <w:rsid w:val="008004F5"/>
    <w:rsid w:val="00803A5D"/>
    <w:rsid w:val="00807734"/>
    <w:rsid w:val="00857BC3"/>
    <w:rsid w:val="008774E8"/>
    <w:rsid w:val="00891253"/>
    <w:rsid w:val="008939EF"/>
    <w:rsid w:val="008A5896"/>
    <w:rsid w:val="008C07CC"/>
    <w:rsid w:val="008C4CF0"/>
    <w:rsid w:val="008D3F6A"/>
    <w:rsid w:val="008D5D99"/>
    <w:rsid w:val="008E0307"/>
    <w:rsid w:val="008F28C7"/>
    <w:rsid w:val="00904183"/>
    <w:rsid w:val="009112E6"/>
    <w:rsid w:val="00915524"/>
    <w:rsid w:val="009323B5"/>
    <w:rsid w:val="009501D0"/>
    <w:rsid w:val="00950DDA"/>
    <w:rsid w:val="009528C1"/>
    <w:rsid w:val="00957597"/>
    <w:rsid w:val="00962BEC"/>
    <w:rsid w:val="00990BC9"/>
    <w:rsid w:val="009B0D64"/>
    <w:rsid w:val="009B4779"/>
    <w:rsid w:val="009B5B7E"/>
    <w:rsid w:val="009C178B"/>
    <w:rsid w:val="009D252F"/>
    <w:rsid w:val="009D5FEF"/>
    <w:rsid w:val="009E439A"/>
    <w:rsid w:val="009F459C"/>
    <w:rsid w:val="00A02AAA"/>
    <w:rsid w:val="00A03373"/>
    <w:rsid w:val="00A2507B"/>
    <w:rsid w:val="00A32F25"/>
    <w:rsid w:val="00A463BF"/>
    <w:rsid w:val="00A66D10"/>
    <w:rsid w:val="00A83821"/>
    <w:rsid w:val="00AB1D43"/>
    <w:rsid w:val="00AD21B3"/>
    <w:rsid w:val="00AE1E6B"/>
    <w:rsid w:val="00AE3D0F"/>
    <w:rsid w:val="00AF5582"/>
    <w:rsid w:val="00AF5D3D"/>
    <w:rsid w:val="00B45EB9"/>
    <w:rsid w:val="00B62311"/>
    <w:rsid w:val="00B65939"/>
    <w:rsid w:val="00B67C73"/>
    <w:rsid w:val="00BA27ED"/>
    <w:rsid w:val="00BA4E83"/>
    <w:rsid w:val="00BA7416"/>
    <w:rsid w:val="00BC3347"/>
    <w:rsid w:val="00BD2EFB"/>
    <w:rsid w:val="00BD4501"/>
    <w:rsid w:val="00C00A1C"/>
    <w:rsid w:val="00C04219"/>
    <w:rsid w:val="00C13D02"/>
    <w:rsid w:val="00C17E38"/>
    <w:rsid w:val="00C23CA4"/>
    <w:rsid w:val="00C30A8B"/>
    <w:rsid w:val="00C40CEA"/>
    <w:rsid w:val="00C43A56"/>
    <w:rsid w:val="00C81248"/>
    <w:rsid w:val="00C8792E"/>
    <w:rsid w:val="00C97175"/>
    <w:rsid w:val="00CA1DE3"/>
    <w:rsid w:val="00CC75C9"/>
    <w:rsid w:val="00CD2FEA"/>
    <w:rsid w:val="00CE5B10"/>
    <w:rsid w:val="00D06A9F"/>
    <w:rsid w:val="00D24FF8"/>
    <w:rsid w:val="00D27E9C"/>
    <w:rsid w:val="00D30984"/>
    <w:rsid w:val="00D65327"/>
    <w:rsid w:val="00D65647"/>
    <w:rsid w:val="00D66FA6"/>
    <w:rsid w:val="00D71FA9"/>
    <w:rsid w:val="00DA2A29"/>
    <w:rsid w:val="00DB1B0F"/>
    <w:rsid w:val="00DC490D"/>
    <w:rsid w:val="00DD3379"/>
    <w:rsid w:val="00DE3033"/>
    <w:rsid w:val="00DF082C"/>
    <w:rsid w:val="00DF168F"/>
    <w:rsid w:val="00DF277C"/>
    <w:rsid w:val="00E002A0"/>
    <w:rsid w:val="00E05F5F"/>
    <w:rsid w:val="00E1418C"/>
    <w:rsid w:val="00E176D2"/>
    <w:rsid w:val="00E20D2F"/>
    <w:rsid w:val="00E223FA"/>
    <w:rsid w:val="00E27669"/>
    <w:rsid w:val="00E30A20"/>
    <w:rsid w:val="00E526D8"/>
    <w:rsid w:val="00E63F5B"/>
    <w:rsid w:val="00E91AC4"/>
    <w:rsid w:val="00E91AFA"/>
    <w:rsid w:val="00EB3930"/>
    <w:rsid w:val="00EB52E3"/>
    <w:rsid w:val="00EC5961"/>
    <w:rsid w:val="00EC62C5"/>
    <w:rsid w:val="00ED5816"/>
    <w:rsid w:val="00F02A9A"/>
    <w:rsid w:val="00F04F89"/>
    <w:rsid w:val="00F16859"/>
    <w:rsid w:val="00F315E3"/>
    <w:rsid w:val="00F40CB1"/>
    <w:rsid w:val="00F55D2A"/>
    <w:rsid w:val="00F6298B"/>
    <w:rsid w:val="00F64A3E"/>
    <w:rsid w:val="00F65566"/>
    <w:rsid w:val="00F9081E"/>
    <w:rsid w:val="00F924DF"/>
    <w:rsid w:val="00F9264F"/>
    <w:rsid w:val="00F941A7"/>
    <w:rsid w:val="00FA30CB"/>
    <w:rsid w:val="00FA7C7C"/>
    <w:rsid w:val="00FB68FC"/>
    <w:rsid w:val="00FC0A64"/>
    <w:rsid w:val="00FD2CAF"/>
    <w:rsid w:val="00FD5481"/>
    <w:rsid w:val="00FE5779"/>
    <w:rsid w:val="00FF5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9FE8"/>
  <w15:chartTrackingRefBased/>
  <w15:docId w15:val="{E2A25E1C-629F-444A-9E1B-5C13B1EF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6F"/>
    <w:rPr>
      <w:rFonts w:ascii="Arial" w:hAnsi="Arial"/>
    </w:rPr>
  </w:style>
  <w:style w:type="paragraph" w:styleId="Heading1">
    <w:name w:val="heading 1"/>
    <w:basedOn w:val="Normal"/>
    <w:next w:val="Normal"/>
    <w:link w:val="Heading1Char"/>
    <w:uiPriority w:val="9"/>
    <w:qFormat/>
    <w:rsid w:val="004E21A8"/>
    <w:pPr>
      <w:keepNext/>
      <w:keepLines/>
      <w:numPr>
        <w:numId w:val="2"/>
      </w:numPr>
      <w:spacing w:before="240" w:after="0"/>
      <w:outlineLvl w:val="0"/>
    </w:pPr>
    <w:rPr>
      <w:rFonts w:eastAsiaTheme="majorEastAsia" w:cstheme="majorBidi"/>
      <w:b/>
      <w:color w:val="006A68"/>
      <w:sz w:val="32"/>
      <w:szCs w:val="32"/>
    </w:rPr>
  </w:style>
  <w:style w:type="paragraph" w:styleId="Heading2">
    <w:name w:val="heading 2"/>
    <w:basedOn w:val="Normal"/>
    <w:next w:val="Normal"/>
    <w:link w:val="Heading2Char"/>
    <w:autoRedefine/>
    <w:uiPriority w:val="9"/>
    <w:unhideWhenUsed/>
    <w:qFormat/>
    <w:rsid w:val="008D3F6A"/>
    <w:pPr>
      <w:keepNext/>
      <w:keepLines/>
      <w:numPr>
        <w:ilvl w:val="1"/>
        <w:numId w:val="2"/>
      </w:numPr>
      <w:spacing w:before="100" w:beforeAutospacing="1" w:after="0"/>
      <w:ind w:left="0" w:firstLine="0"/>
      <w:outlineLvl w:val="1"/>
    </w:pPr>
    <w:rPr>
      <w:rFonts w:eastAsiaTheme="majorEastAsia" w:cstheme="majorBidi"/>
      <w:b/>
      <w:color w:val="006A68"/>
      <w:sz w:val="26"/>
      <w:szCs w:val="26"/>
    </w:rPr>
  </w:style>
  <w:style w:type="paragraph" w:styleId="Heading3">
    <w:name w:val="heading 3"/>
    <w:basedOn w:val="Normal"/>
    <w:next w:val="Normal"/>
    <w:link w:val="Heading3Char"/>
    <w:uiPriority w:val="9"/>
    <w:unhideWhenUsed/>
    <w:qFormat/>
    <w:rsid w:val="00345143"/>
    <w:pPr>
      <w:keepNext/>
      <w:keepLines/>
      <w:numPr>
        <w:ilvl w:val="2"/>
        <w:numId w:val="2"/>
      </w:numPr>
      <w:spacing w:before="40" w:after="0"/>
      <w:ind w:left="504"/>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4F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F6A"/>
    <w:rPr>
      <w:rFonts w:ascii="Arial" w:eastAsiaTheme="majorEastAsia" w:hAnsi="Arial" w:cstheme="majorBidi"/>
      <w:b/>
      <w:color w:val="006A68"/>
      <w:sz w:val="26"/>
      <w:szCs w:val="26"/>
    </w:rPr>
  </w:style>
  <w:style w:type="character" w:customStyle="1" w:styleId="Heading1Char">
    <w:name w:val="Heading 1 Char"/>
    <w:basedOn w:val="DefaultParagraphFont"/>
    <w:link w:val="Heading1"/>
    <w:uiPriority w:val="9"/>
    <w:rsid w:val="004E21A8"/>
    <w:rPr>
      <w:rFonts w:ascii="Arial" w:eastAsiaTheme="majorEastAsia" w:hAnsi="Arial" w:cstheme="majorBidi"/>
      <w:b/>
      <w:color w:val="006A68"/>
      <w:sz w:val="32"/>
      <w:szCs w:val="32"/>
    </w:rPr>
  </w:style>
  <w:style w:type="character" w:customStyle="1" w:styleId="Heading3Char">
    <w:name w:val="Heading 3 Char"/>
    <w:basedOn w:val="DefaultParagraphFont"/>
    <w:link w:val="Heading3"/>
    <w:uiPriority w:val="9"/>
    <w:rsid w:val="003451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4FF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0F35"/>
    <w:pPr>
      <w:ind w:left="720"/>
      <w:contextualSpacing/>
    </w:pPr>
  </w:style>
  <w:style w:type="character" w:styleId="CommentReference">
    <w:name w:val="annotation reference"/>
    <w:basedOn w:val="DefaultParagraphFont"/>
    <w:uiPriority w:val="99"/>
    <w:semiHidden/>
    <w:unhideWhenUsed/>
    <w:rsid w:val="00BA27ED"/>
    <w:rPr>
      <w:sz w:val="16"/>
      <w:szCs w:val="16"/>
    </w:rPr>
  </w:style>
  <w:style w:type="paragraph" w:styleId="CommentText">
    <w:name w:val="annotation text"/>
    <w:basedOn w:val="Normal"/>
    <w:link w:val="CommentTextChar"/>
    <w:uiPriority w:val="99"/>
    <w:unhideWhenUsed/>
    <w:rsid w:val="00BA27ED"/>
    <w:pPr>
      <w:spacing w:line="240" w:lineRule="auto"/>
    </w:pPr>
    <w:rPr>
      <w:sz w:val="20"/>
      <w:szCs w:val="20"/>
    </w:rPr>
  </w:style>
  <w:style w:type="character" w:customStyle="1" w:styleId="CommentTextChar">
    <w:name w:val="Comment Text Char"/>
    <w:basedOn w:val="DefaultParagraphFont"/>
    <w:link w:val="CommentText"/>
    <w:uiPriority w:val="99"/>
    <w:rsid w:val="00BA27ED"/>
    <w:rPr>
      <w:sz w:val="20"/>
      <w:szCs w:val="20"/>
    </w:rPr>
  </w:style>
  <w:style w:type="paragraph" w:styleId="CommentSubject">
    <w:name w:val="annotation subject"/>
    <w:basedOn w:val="CommentText"/>
    <w:next w:val="CommentText"/>
    <w:link w:val="CommentSubjectChar"/>
    <w:uiPriority w:val="99"/>
    <w:semiHidden/>
    <w:unhideWhenUsed/>
    <w:rsid w:val="00BA27ED"/>
    <w:rPr>
      <w:b/>
      <w:bCs/>
    </w:rPr>
  </w:style>
  <w:style w:type="character" w:customStyle="1" w:styleId="CommentSubjectChar">
    <w:name w:val="Comment Subject Char"/>
    <w:basedOn w:val="CommentTextChar"/>
    <w:link w:val="CommentSubject"/>
    <w:uiPriority w:val="99"/>
    <w:semiHidden/>
    <w:rsid w:val="00BA27ED"/>
    <w:rPr>
      <w:b/>
      <w:bCs/>
      <w:sz w:val="20"/>
      <w:szCs w:val="20"/>
    </w:rPr>
  </w:style>
  <w:style w:type="character" w:styleId="PlaceholderText">
    <w:name w:val="Placeholder Text"/>
    <w:basedOn w:val="DefaultParagraphFont"/>
    <w:uiPriority w:val="99"/>
    <w:semiHidden/>
    <w:rsid w:val="00C97175"/>
    <w:rPr>
      <w:color w:val="808080"/>
    </w:rPr>
  </w:style>
  <w:style w:type="table" w:styleId="TableGrid">
    <w:name w:val="Table Grid"/>
    <w:basedOn w:val="TableNormal"/>
    <w:uiPriority w:val="39"/>
    <w:rsid w:val="001F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21A8"/>
    <w:pPr>
      <w:spacing w:after="200" w:line="240" w:lineRule="auto"/>
    </w:pPr>
    <w:rPr>
      <w:i/>
      <w:iCs/>
      <w:color w:val="404040" w:themeColor="text1" w:themeTint="BF"/>
      <w:kern w:val="0"/>
      <w:sz w:val="18"/>
      <w:szCs w:val="18"/>
      <w14:ligatures w14:val="none"/>
    </w:rPr>
  </w:style>
  <w:style w:type="paragraph" w:styleId="Bibliography">
    <w:name w:val="Bibliography"/>
    <w:basedOn w:val="Normal"/>
    <w:next w:val="Normal"/>
    <w:uiPriority w:val="37"/>
    <w:unhideWhenUsed/>
    <w:rsid w:val="001A774D"/>
    <w:rPr>
      <w:kern w:val="0"/>
      <w14:ligatures w14:val="none"/>
    </w:rPr>
  </w:style>
  <w:style w:type="paragraph" w:styleId="Title">
    <w:name w:val="Title"/>
    <w:basedOn w:val="Normal"/>
    <w:next w:val="Normal"/>
    <w:link w:val="TitleChar"/>
    <w:uiPriority w:val="10"/>
    <w:qFormat/>
    <w:rsid w:val="00266AB1"/>
    <w:pPr>
      <w:spacing w:after="0" w:line="240" w:lineRule="auto"/>
      <w:contextualSpacing/>
    </w:pPr>
    <w:rPr>
      <w:rFonts w:eastAsiaTheme="majorEastAsia" w:cstheme="majorBidi"/>
      <w:spacing w:val="-10"/>
      <w:kern w:val="28"/>
      <w:sz w:val="56"/>
      <w:szCs w:val="56"/>
      <w14:ligatures w14:val="none"/>
    </w:rPr>
  </w:style>
  <w:style w:type="character" w:customStyle="1" w:styleId="TitleChar">
    <w:name w:val="Title Char"/>
    <w:basedOn w:val="DefaultParagraphFont"/>
    <w:link w:val="Title"/>
    <w:uiPriority w:val="10"/>
    <w:rsid w:val="00266AB1"/>
    <w:rPr>
      <w:rFonts w:ascii="Arial" w:eastAsiaTheme="majorEastAsia" w:hAnsi="Arial"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9269">
      <w:bodyDiv w:val="1"/>
      <w:marLeft w:val="0"/>
      <w:marRight w:val="0"/>
      <w:marTop w:val="0"/>
      <w:marBottom w:val="0"/>
      <w:divBdr>
        <w:top w:val="none" w:sz="0" w:space="0" w:color="auto"/>
        <w:left w:val="none" w:sz="0" w:space="0" w:color="auto"/>
        <w:bottom w:val="none" w:sz="0" w:space="0" w:color="auto"/>
        <w:right w:val="none" w:sz="0" w:space="0" w:color="auto"/>
      </w:divBdr>
      <w:divsChild>
        <w:div w:id="481310193">
          <w:marLeft w:val="0"/>
          <w:marRight w:val="0"/>
          <w:marTop w:val="0"/>
          <w:marBottom w:val="0"/>
          <w:divBdr>
            <w:top w:val="none" w:sz="0" w:space="0" w:color="auto"/>
            <w:left w:val="none" w:sz="0" w:space="0" w:color="auto"/>
            <w:bottom w:val="none" w:sz="0" w:space="0" w:color="auto"/>
            <w:right w:val="none" w:sz="0" w:space="0" w:color="auto"/>
          </w:divBdr>
          <w:divsChild>
            <w:div w:id="152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1369">
      <w:bodyDiv w:val="1"/>
      <w:marLeft w:val="0"/>
      <w:marRight w:val="0"/>
      <w:marTop w:val="0"/>
      <w:marBottom w:val="0"/>
      <w:divBdr>
        <w:top w:val="none" w:sz="0" w:space="0" w:color="auto"/>
        <w:left w:val="none" w:sz="0" w:space="0" w:color="auto"/>
        <w:bottom w:val="none" w:sz="0" w:space="0" w:color="auto"/>
        <w:right w:val="none" w:sz="0" w:space="0" w:color="auto"/>
      </w:divBdr>
      <w:divsChild>
        <w:div w:id="2102794792">
          <w:marLeft w:val="0"/>
          <w:marRight w:val="0"/>
          <w:marTop w:val="0"/>
          <w:marBottom w:val="0"/>
          <w:divBdr>
            <w:top w:val="none" w:sz="0" w:space="0" w:color="auto"/>
            <w:left w:val="none" w:sz="0" w:space="0" w:color="auto"/>
            <w:bottom w:val="none" w:sz="0" w:space="0" w:color="auto"/>
            <w:right w:val="none" w:sz="0" w:space="0" w:color="auto"/>
          </w:divBdr>
          <w:divsChild>
            <w:div w:id="370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788">
      <w:bodyDiv w:val="1"/>
      <w:marLeft w:val="0"/>
      <w:marRight w:val="0"/>
      <w:marTop w:val="0"/>
      <w:marBottom w:val="0"/>
      <w:divBdr>
        <w:top w:val="none" w:sz="0" w:space="0" w:color="auto"/>
        <w:left w:val="none" w:sz="0" w:space="0" w:color="auto"/>
        <w:bottom w:val="none" w:sz="0" w:space="0" w:color="auto"/>
        <w:right w:val="none" w:sz="0" w:space="0" w:color="auto"/>
      </w:divBdr>
      <w:divsChild>
        <w:div w:id="1990476498">
          <w:marLeft w:val="0"/>
          <w:marRight w:val="0"/>
          <w:marTop w:val="0"/>
          <w:marBottom w:val="0"/>
          <w:divBdr>
            <w:top w:val="none" w:sz="0" w:space="0" w:color="auto"/>
            <w:left w:val="none" w:sz="0" w:space="0" w:color="auto"/>
            <w:bottom w:val="none" w:sz="0" w:space="0" w:color="auto"/>
            <w:right w:val="none" w:sz="0" w:space="0" w:color="auto"/>
          </w:divBdr>
          <w:divsChild>
            <w:div w:id="822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530">
      <w:bodyDiv w:val="1"/>
      <w:marLeft w:val="0"/>
      <w:marRight w:val="0"/>
      <w:marTop w:val="0"/>
      <w:marBottom w:val="0"/>
      <w:divBdr>
        <w:top w:val="none" w:sz="0" w:space="0" w:color="auto"/>
        <w:left w:val="none" w:sz="0" w:space="0" w:color="auto"/>
        <w:bottom w:val="none" w:sz="0" w:space="0" w:color="auto"/>
        <w:right w:val="none" w:sz="0" w:space="0" w:color="auto"/>
      </w:divBdr>
    </w:div>
    <w:div w:id="794325323">
      <w:bodyDiv w:val="1"/>
      <w:marLeft w:val="0"/>
      <w:marRight w:val="0"/>
      <w:marTop w:val="0"/>
      <w:marBottom w:val="0"/>
      <w:divBdr>
        <w:top w:val="none" w:sz="0" w:space="0" w:color="auto"/>
        <w:left w:val="none" w:sz="0" w:space="0" w:color="auto"/>
        <w:bottom w:val="none" w:sz="0" w:space="0" w:color="auto"/>
        <w:right w:val="none" w:sz="0" w:space="0" w:color="auto"/>
      </w:divBdr>
    </w:div>
    <w:div w:id="1011689792">
      <w:bodyDiv w:val="1"/>
      <w:marLeft w:val="0"/>
      <w:marRight w:val="0"/>
      <w:marTop w:val="0"/>
      <w:marBottom w:val="0"/>
      <w:divBdr>
        <w:top w:val="none" w:sz="0" w:space="0" w:color="auto"/>
        <w:left w:val="none" w:sz="0" w:space="0" w:color="auto"/>
        <w:bottom w:val="none" w:sz="0" w:space="0" w:color="auto"/>
        <w:right w:val="none" w:sz="0" w:space="0" w:color="auto"/>
      </w:divBdr>
      <w:divsChild>
        <w:div w:id="113981455">
          <w:marLeft w:val="0"/>
          <w:marRight w:val="0"/>
          <w:marTop w:val="0"/>
          <w:marBottom w:val="0"/>
          <w:divBdr>
            <w:top w:val="none" w:sz="0" w:space="0" w:color="auto"/>
            <w:left w:val="none" w:sz="0" w:space="0" w:color="auto"/>
            <w:bottom w:val="none" w:sz="0" w:space="0" w:color="auto"/>
            <w:right w:val="none" w:sz="0" w:space="0" w:color="auto"/>
          </w:divBdr>
          <w:divsChild>
            <w:div w:id="12549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9903">
      <w:bodyDiv w:val="1"/>
      <w:marLeft w:val="0"/>
      <w:marRight w:val="0"/>
      <w:marTop w:val="0"/>
      <w:marBottom w:val="0"/>
      <w:divBdr>
        <w:top w:val="none" w:sz="0" w:space="0" w:color="auto"/>
        <w:left w:val="none" w:sz="0" w:space="0" w:color="auto"/>
        <w:bottom w:val="none" w:sz="0" w:space="0" w:color="auto"/>
        <w:right w:val="none" w:sz="0" w:space="0" w:color="auto"/>
      </w:divBdr>
    </w:div>
    <w:div w:id="1155341594">
      <w:bodyDiv w:val="1"/>
      <w:marLeft w:val="0"/>
      <w:marRight w:val="0"/>
      <w:marTop w:val="0"/>
      <w:marBottom w:val="0"/>
      <w:divBdr>
        <w:top w:val="none" w:sz="0" w:space="0" w:color="auto"/>
        <w:left w:val="none" w:sz="0" w:space="0" w:color="auto"/>
        <w:bottom w:val="none" w:sz="0" w:space="0" w:color="auto"/>
        <w:right w:val="none" w:sz="0" w:space="0" w:color="auto"/>
      </w:divBdr>
      <w:divsChild>
        <w:div w:id="333647775">
          <w:marLeft w:val="0"/>
          <w:marRight w:val="0"/>
          <w:marTop w:val="0"/>
          <w:marBottom w:val="0"/>
          <w:divBdr>
            <w:top w:val="none" w:sz="0" w:space="0" w:color="auto"/>
            <w:left w:val="none" w:sz="0" w:space="0" w:color="auto"/>
            <w:bottom w:val="none" w:sz="0" w:space="0" w:color="auto"/>
            <w:right w:val="none" w:sz="0" w:space="0" w:color="auto"/>
          </w:divBdr>
          <w:divsChild>
            <w:div w:id="20402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182">
      <w:bodyDiv w:val="1"/>
      <w:marLeft w:val="0"/>
      <w:marRight w:val="0"/>
      <w:marTop w:val="0"/>
      <w:marBottom w:val="0"/>
      <w:divBdr>
        <w:top w:val="none" w:sz="0" w:space="0" w:color="auto"/>
        <w:left w:val="none" w:sz="0" w:space="0" w:color="auto"/>
        <w:bottom w:val="none" w:sz="0" w:space="0" w:color="auto"/>
        <w:right w:val="none" w:sz="0" w:space="0" w:color="auto"/>
      </w:divBdr>
      <w:divsChild>
        <w:div w:id="2056731250">
          <w:marLeft w:val="0"/>
          <w:marRight w:val="0"/>
          <w:marTop w:val="0"/>
          <w:marBottom w:val="0"/>
          <w:divBdr>
            <w:top w:val="none" w:sz="0" w:space="0" w:color="auto"/>
            <w:left w:val="none" w:sz="0" w:space="0" w:color="auto"/>
            <w:bottom w:val="none" w:sz="0" w:space="0" w:color="auto"/>
            <w:right w:val="none" w:sz="0" w:space="0" w:color="auto"/>
          </w:divBdr>
          <w:divsChild>
            <w:div w:id="9107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4550">
      <w:bodyDiv w:val="1"/>
      <w:marLeft w:val="0"/>
      <w:marRight w:val="0"/>
      <w:marTop w:val="0"/>
      <w:marBottom w:val="0"/>
      <w:divBdr>
        <w:top w:val="none" w:sz="0" w:space="0" w:color="auto"/>
        <w:left w:val="none" w:sz="0" w:space="0" w:color="auto"/>
        <w:bottom w:val="none" w:sz="0" w:space="0" w:color="auto"/>
        <w:right w:val="none" w:sz="0" w:space="0" w:color="auto"/>
      </w:divBdr>
    </w:div>
    <w:div w:id="1813280445">
      <w:bodyDiv w:val="1"/>
      <w:marLeft w:val="0"/>
      <w:marRight w:val="0"/>
      <w:marTop w:val="0"/>
      <w:marBottom w:val="0"/>
      <w:divBdr>
        <w:top w:val="none" w:sz="0" w:space="0" w:color="auto"/>
        <w:left w:val="none" w:sz="0" w:space="0" w:color="auto"/>
        <w:bottom w:val="none" w:sz="0" w:space="0" w:color="auto"/>
        <w:right w:val="none" w:sz="0" w:space="0" w:color="auto"/>
      </w:divBdr>
      <w:divsChild>
        <w:div w:id="1143737124">
          <w:marLeft w:val="0"/>
          <w:marRight w:val="0"/>
          <w:marTop w:val="0"/>
          <w:marBottom w:val="0"/>
          <w:divBdr>
            <w:top w:val="none" w:sz="0" w:space="0" w:color="auto"/>
            <w:left w:val="none" w:sz="0" w:space="0" w:color="auto"/>
            <w:bottom w:val="none" w:sz="0" w:space="0" w:color="auto"/>
            <w:right w:val="none" w:sz="0" w:space="0" w:color="auto"/>
          </w:divBdr>
          <w:divsChild>
            <w:div w:id="4184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045">
      <w:bodyDiv w:val="1"/>
      <w:marLeft w:val="0"/>
      <w:marRight w:val="0"/>
      <w:marTop w:val="0"/>
      <w:marBottom w:val="0"/>
      <w:divBdr>
        <w:top w:val="none" w:sz="0" w:space="0" w:color="auto"/>
        <w:left w:val="none" w:sz="0" w:space="0" w:color="auto"/>
        <w:bottom w:val="none" w:sz="0" w:space="0" w:color="auto"/>
        <w:right w:val="none" w:sz="0" w:space="0" w:color="auto"/>
      </w:divBdr>
    </w:div>
    <w:div w:id="1881479787">
      <w:bodyDiv w:val="1"/>
      <w:marLeft w:val="0"/>
      <w:marRight w:val="0"/>
      <w:marTop w:val="0"/>
      <w:marBottom w:val="0"/>
      <w:divBdr>
        <w:top w:val="none" w:sz="0" w:space="0" w:color="auto"/>
        <w:left w:val="none" w:sz="0" w:space="0" w:color="auto"/>
        <w:bottom w:val="none" w:sz="0" w:space="0" w:color="auto"/>
        <w:right w:val="none" w:sz="0" w:space="0" w:color="auto"/>
      </w:divBdr>
      <w:divsChild>
        <w:div w:id="342125702">
          <w:marLeft w:val="0"/>
          <w:marRight w:val="0"/>
          <w:marTop w:val="0"/>
          <w:marBottom w:val="0"/>
          <w:divBdr>
            <w:top w:val="none" w:sz="0" w:space="0" w:color="auto"/>
            <w:left w:val="none" w:sz="0" w:space="0" w:color="auto"/>
            <w:bottom w:val="none" w:sz="0" w:space="0" w:color="auto"/>
            <w:right w:val="none" w:sz="0" w:space="0" w:color="auto"/>
          </w:divBdr>
          <w:divsChild>
            <w:div w:id="1318267603">
              <w:marLeft w:val="0"/>
              <w:marRight w:val="0"/>
              <w:marTop w:val="0"/>
              <w:marBottom w:val="0"/>
              <w:divBdr>
                <w:top w:val="none" w:sz="0" w:space="0" w:color="auto"/>
                <w:left w:val="none" w:sz="0" w:space="0" w:color="auto"/>
                <w:bottom w:val="none" w:sz="0" w:space="0" w:color="auto"/>
                <w:right w:val="none" w:sz="0" w:space="0" w:color="auto"/>
              </w:divBdr>
            </w:div>
            <w:div w:id="1690136376">
              <w:marLeft w:val="0"/>
              <w:marRight w:val="0"/>
              <w:marTop w:val="0"/>
              <w:marBottom w:val="0"/>
              <w:divBdr>
                <w:top w:val="none" w:sz="0" w:space="0" w:color="auto"/>
                <w:left w:val="none" w:sz="0" w:space="0" w:color="auto"/>
                <w:bottom w:val="none" w:sz="0" w:space="0" w:color="auto"/>
                <w:right w:val="none" w:sz="0" w:space="0" w:color="auto"/>
              </w:divBdr>
            </w:div>
            <w:div w:id="1747075082">
              <w:marLeft w:val="0"/>
              <w:marRight w:val="0"/>
              <w:marTop w:val="0"/>
              <w:marBottom w:val="0"/>
              <w:divBdr>
                <w:top w:val="none" w:sz="0" w:space="0" w:color="auto"/>
                <w:left w:val="none" w:sz="0" w:space="0" w:color="auto"/>
                <w:bottom w:val="none" w:sz="0" w:space="0" w:color="auto"/>
                <w:right w:val="none" w:sz="0" w:space="0" w:color="auto"/>
              </w:divBdr>
            </w:div>
            <w:div w:id="1512649243">
              <w:marLeft w:val="0"/>
              <w:marRight w:val="0"/>
              <w:marTop w:val="0"/>
              <w:marBottom w:val="0"/>
              <w:divBdr>
                <w:top w:val="none" w:sz="0" w:space="0" w:color="auto"/>
                <w:left w:val="none" w:sz="0" w:space="0" w:color="auto"/>
                <w:bottom w:val="none" w:sz="0" w:space="0" w:color="auto"/>
                <w:right w:val="none" w:sz="0" w:space="0" w:color="auto"/>
              </w:divBdr>
            </w:div>
            <w:div w:id="1443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b:Tag>
    <b:SourceType>InternetSite</b:SourceType>
    <b:Guid>{EA7FE3B4-B408-4AD5-B3A5-FBD0F11A25C8}</b:Guid>
    <b:URL>https://glossary.ametsoc.org/wiki/Taylor's_hypothesis#:~:text=An%20assumption%20that%20advection%20contributed,Taylor%20%22frozen%20turbulence%22%20hypothesis.</b:URL>
    <b:Author>
      <b:Author>
        <b:NameList>
          <b:Person>
            <b:Last>ametsoc.org</b:Last>
            <b:First>American</b:First>
            <b:Middle>Meterological Society</b:Middle>
          </b:Person>
        </b:NameList>
      </b:Author>
    </b:Author>
    <b:RefOrder>1</b:RefOrder>
  </b:Source>
  <b:Source>
    <b:Tag>Sta97</b:Tag>
    <b:SourceType>JournalArticle</b:SourceType>
    <b:Guid>{D462ACA0-22DA-4697-9336-C4D284F89557}</b:Guid>
    <b:Title>Stock market dynamics and turbulence: Parallel analysis of fluctuation phenomena</b:Title>
    <b:Year>1997</b:Year>
    <b:Author>
      <b:Author>
        <b:NameList>
          <b:Person>
            <b:Last>Stanley</b:Last>
            <b:First>R.</b:First>
            <b:Middle>N. Mantegna and H. E.</b:Middle>
          </b:Person>
        </b:NameList>
      </b:Author>
    </b:Author>
    <b:JournalName>Physica A: Statistical Mechanics and its Applications</b:JournalName>
    <b:RefOrder>2</b:RefOrder>
  </b:Source>
  <b:Source>
    <b:Tag>RNM99</b:Tag>
    <b:SourceType>Book</b:SourceType>
    <b:Guid>{59A06EF2-97C0-44EC-A519-D6E88E8ACCD8}</b:Guid>
    <b:Title>An Introduction to Enconophysics: Correclations and Complexity in Finance</b:Title>
    <b:Year>1999</b:Year>
    <b:Author>
      <b:Author>
        <b:NameList>
          <b:Person>
            <b:Last>Stanley</b:Last>
            <b:First>R.</b:First>
            <b:Middle>N. Mantegna and H. E.</b:Middle>
          </b:Person>
        </b:NameList>
      </b:Author>
    </b:Author>
    <b:Publisher>The Press Syndicate of the University of Cambridge</b:Publisher>
    <b:RefOrder>3</b:RefOrder>
  </b:Source>
  <b:Source>
    <b:Tag>Che17</b:Tag>
    <b:SourceType>DocumentFromInternetSite</b:SourceType>
    <b:Guid>{5F16C74A-A322-4D5C-8C1A-5A8004B599E1}</b:Guid>
    <b:Author>
      <b:Author>
        <b:NameList>
          <b:Person>
            <b:Last>Cheng</b:Last>
            <b:First>Yu</b:First>
          </b:Person>
        </b:NameList>
      </b:Author>
    </b:Author>
    <b:Title>Failure of Taylor's hypothesis in the atmospheric surface layer and its correction for eddy-covariance measurements</b:Title>
    <b:InternetSiteTitle>Advancing Earth And Space Science</b:InternetSiteTitle>
    <b:Year>2017</b:Year>
    <b:Month>April</b:Month>
    <b:Day>18</b:Day>
    <b:URL>https://agupubs.onlinelibrary.wiley.com/doi/10.1002/2017GL073499#:~:text=Taylors'%20frozen%20turbulence%20hypothesis%20suggests,a%20single%20point%20in%20space.</b:URL>
    <b:RefOrder>4</b:RefOrder>
  </b:Source>
</b:Sources>
</file>

<file path=customXml/itemProps1.xml><?xml version="1.0" encoding="utf-8"?>
<ds:datastoreItem xmlns:ds="http://schemas.openxmlformats.org/officeDocument/2006/customXml" ds:itemID="{40CAFEDB-BA2E-4D1A-8666-751E52DE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Greenwood</dc:creator>
  <cp:keywords/>
  <dc:description/>
  <cp:lastModifiedBy>Fabio Greenwood</cp:lastModifiedBy>
  <cp:revision>71</cp:revision>
  <cp:lastPrinted>2023-09-11T16:39:00Z</cp:lastPrinted>
  <dcterms:created xsi:type="dcterms:W3CDTF">2023-09-11T12:43:00Z</dcterms:created>
  <dcterms:modified xsi:type="dcterms:W3CDTF">2024-09-16T14:34:00Z</dcterms:modified>
</cp:coreProperties>
</file>