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629A" w14:textId="77777777" w:rsidR="00757D33" w:rsidRDefault="00000000">
      <w:pPr>
        <w:spacing w:after="120"/>
        <w:jc w:val="center"/>
      </w:pPr>
      <w:r>
        <w:rPr>
          <w:b/>
          <w:bCs/>
          <w:sz w:val="28"/>
          <w:szCs w:val="28"/>
        </w:rPr>
        <w:t>Federated Learning in Dynamic and Heterogeneous Environments for European Digital Health:</w:t>
      </w:r>
    </w:p>
    <w:p w14:paraId="318C6DDC" w14:textId="77777777" w:rsidR="00757D33" w:rsidRDefault="00000000">
      <w:pPr>
        <w:spacing w:after="200"/>
        <w:jc w:val="center"/>
      </w:pPr>
      <w:r>
        <w:rPr>
          <w:b/>
          <w:bCs/>
          <w:sz w:val="28"/>
          <w:szCs w:val="28"/>
        </w:rPr>
        <w:t>From the Theoretical Framework to Implementation in Italian Hospitals</w:t>
      </w:r>
    </w:p>
    <w:p w14:paraId="735F686F" w14:textId="77777777" w:rsidR="00757D33" w:rsidRDefault="00000000">
      <w:pPr>
        <w:spacing w:after="60"/>
        <w:jc w:val="center"/>
      </w:pPr>
      <w:r>
        <w:rPr>
          <w:b/>
          <w:bCs/>
        </w:rPr>
        <w:t>Fabio Liberti</w:t>
      </w:r>
    </w:p>
    <w:p w14:paraId="2E367086" w14:textId="77777777" w:rsidR="00757D33" w:rsidRDefault="00000000">
      <w:pPr>
        <w:spacing w:after="60"/>
        <w:jc w:val="center"/>
      </w:pPr>
      <w:r>
        <w:rPr>
          <w:i/>
          <w:iCs/>
          <w:sz w:val="22"/>
          <w:szCs w:val="22"/>
        </w:rPr>
        <w:t>PhD Programme in Big Data and Artificial Intelligence – Cycle XXXVIII</w:t>
      </w:r>
    </w:p>
    <w:p w14:paraId="79878471" w14:textId="77777777" w:rsidR="00757D33" w:rsidRDefault="00000000">
      <w:pPr>
        <w:spacing w:after="60"/>
        <w:jc w:val="center"/>
      </w:pPr>
      <w:r>
        <w:rPr>
          <w:sz w:val="22"/>
          <w:szCs w:val="22"/>
        </w:rPr>
        <w:t>Universitas Mercatorum, Rome, Italy</w:t>
      </w:r>
    </w:p>
    <w:p w14:paraId="5EF0D2FE" w14:textId="77777777" w:rsidR="00757D33" w:rsidRDefault="00000000">
      <w:pPr>
        <w:spacing w:after="60"/>
        <w:jc w:val="center"/>
      </w:pPr>
      <w:r>
        <w:rPr>
          <w:sz w:val="22"/>
          <w:szCs w:val="22"/>
        </w:rPr>
        <w:t>In collaboration with Blekinge Institute of Technology, Sweden</w:t>
      </w:r>
    </w:p>
    <w:p w14:paraId="57DB4259" w14:textId="77777777" w:rsidR="00757D33" w:rsidRDefault="00000000">
      <w:pPr>
        <w:spacing w:after="80"/>
        <w:jc w:val="center"/>
      </w:pPr>
      <w:r>
        <w:rPr>
          <w:sz w:val="20"/>
          <w:szCs w:val="20"/>
        </w:rPr>
        <w:t>Supervisors: Prof.ssa B. Martini, Prof. A. Mazzitelli, Prof. A.E. Tozzi (OPBG IRCCS), Prof. S. Alawadi (BTH)</w:t>
      </w:r>
    </w:p>
    <w:p w14:paraId="118D35A3" w14:textId="77777777" w:rsidR="00757D33" w:rsidRDefault="00000000">
      <w:pPr>
        <w:pStyle w:val="Titolo1"/>
      </w:pPr>
      <w:r>
        <w:t>Abstract</w:t>
      </w:r>
    </w:p>
    <w:p w14:paraId="714F77DE" w14:textId="28FCF039" w:rsidR="00757D33" w:rsidRDefault="00000000">
      <w:pPr>
        <w:spacing w:after="120" w:line="276" w:lineRule="auto"/>
        <w:jc w:val="both"/>
      </w:pPr>
      <w:r>
        <w:rPr>
          <w:sz w:val="22"/>
          <w:szCs w:val="22"/>
        </w:rPr>
        <w:t xml:space="preserve">This doctoral dissertation investigates the design, governance, adoption, and interoperability of Federated Learning (FL) systems for European digital healthcare. The research proposes FENITH (FEderated learNing Italian healTHcare), an integrated framework that converges four complementary dimensions—technical architecture, multidimensional governance, practical adoption, and EHDS compliance—into a unified answer to the challenge of enabling privacy-preserving collaborative learning across hospital networks. Through an 18-month empirical study at Ospedale Pediatrico Bambino Gesù (OPBGFL project), a 6-month international collaboration with Blekinge Institute of Technology (BLEKFL2 project), a national survey targeting Italian hospital directors, and a capstone experimental campaign comprising over 6,000 experiments across 17 FL algorithms and 8 clinical datasets, this research demonstrates </w:t>
      </w:r>
      <w:r w:rsidR="00690224" w:rsidRPr="00690224">
        <w:rPr>
          <w:sz w:val="22"/>
          <w:szCs w:val="22"/>
        </w:rPr>
        <w:t>the sustainability of the implemented solution and highlights that the</w:t>
      </w:r>
      <w:r w:rsidR="00690224">
        <w:rPr>
          <w:sz w:val="22"/>
          <w:szCs w:val="22"/>
        </w:rPr>
        <w:t xml:space="preserve"> </w:t>
      </w:r>
      <w:r>
        <w:rPr>
          <w:sz w:val="22"/>
          <w:szCs w:val="22"/>
        </w:rPr>
        <w:t>personalisation architecture—not the choice of aggregation algorithm—is the critical design variable for healthcare federations, yielding up to +26.8 percentage points improvement under severe data heterogeneity. The thesis contributes the AIDIGOSA governance framework, a novel Diagnostic Equity Index, and an EHDS-compliant three-layer compliance architecture. Findings carry implications for healthcare CIOs, policymakers designing EHDS national implementations, and the FL research community. The work is grounded in eight peer-reviewed publications across international venues and supported by two full-stack open-source research platforms (∼40,000 lines of code).</w:t>
      </w:r>
    </w:p>
    <w:p w14:paraId="10B66EB2" w14:textId="77777777" w:rsidR="00757D33" w:rsidRDefault="00000000">
      <w:pPr>
        <w:pStyle w:val="Titolo1"/>
      </w:pPr>
      <w:r>
        <w:t>Keywords</w:t>
      </w:r>
    </w:p>
    <w:p w14:paraId="727958FE" w14:textId="414032A2" w:rsidR="001E5346" w:rsidRDefault="00000000">
      <w:pPr>
        <w:spacing w:after="120" w:line="276" w:lineRule="auto"/>
        <w:jc w:val="both"/>
      </w:pPr>
      <w:r>
        <w:rPr>
          <w:i/>
          <w:iCs/>
          <w:sz w:val="22"/>
          <w:szCs w:val="22"/>
        </w:rPr>
        <w:t>Federated Learning; European Health Data Space; Privacy-Preserving Machine Learning; Digital Health Governance</w:t>
      </w:r>
      <w:r w:rsidR="001E5346">
        <w:rPr>
          <w:i/>
          <w:iCs/>
          <w:sz w:val="22"/>
          <w:szCs w:val="22"/>
        </w:rPr>
        <w:t xml:space="preserve">; </w:t>
      </w:r>
      <w:r w:rsidR="001E5346" w:rsidRPr="001E5346">
        <w:rPr>
          <w:i/>
          <w:iCs/>
        </w:rPr>
        <w:t>Non-IID Heterogeneity; Personalisation Architecture; Distributional Drift Detection</w:t>
      </w:r>
      <w:r w:rsidR="001E5346" w:rsidRPr="001E5346">
        <w:t xml:space="preserve"> </w:t>
      </w:r>
    </w:p>
    <w:p w14:paraId="322C2814" w14:textId="77777777" w:rsidR="00757D33" w:rsidRDefault="00000000">
      <w:pPr>
        <w:pStyle w:val="Titolo1"/>
      </w:pPr>
      <w:r>
        <w:t>Framing of the Research</w:t>
      </w:r>
    </w:p>
    <w:p w14:paraId="630A4C6C" w14:textId="77777777" w:rsidR="00757D33" w:rsidRDefault="00000000">
      <w:pPr>
        <w:spacing w:after="120" w:line="276" w:lineRule="auto"/>
        <w:jc w:val="both"/>
      </w:pPr>
      <w:r>
        <w:rPr>
          <w:sz w:val="22"/>
          <w:szCs w:val="22"/>
        </w:rPr>
        <w:t xml:space="preserve">The European Health Data Space (EHDS) regulation, adopted in 2024, mandates cross-border secondary use of health data across 27 Member States while enforcing strict data sovereignty and GDPR compliance. This creates a fundamental tension: clinical AI models require large, diverse training corpora, yet raw patient data cannot leave institutional boundaries. Federated Learning (FL) resolves this tension by enabling collaborative model training without centralising sensitive data—each hospital trains locally and shares only model updates. However, deploying FL in real healthcare settings faces compounding challenges that the current literature addresses only in isolation: (i) extreme statistical heterogeneity arising from differences in patient populations, diagnostic protocols, and coding standards across hospitals; (ii) the absence of governance models that simultaneously satisfy regulatory, economic, and ethical requirements; (iii) organisational and cultural barriers to adoption in legacy-laden </w:t>
      </w:r>
      <w:r>
        <w:rPr>
          <w:sz w:val="22"/>
          <w:szCs w:val="22"/>
        </w:rPr>
        <w:lastRenderedPageBreak/>
        <w:t>hospital IT ecosystems; and (iv) the lack of interoperability standards bridging FL workflows with established health data formats such as HL7 FHIR and OMOP-CDM.</w:t>
      </w:r>
    </w:p>
    <w:p w14:paraId="1D22BE2D" w14:textId="277FA5DE" w:rsidR="00757D33" w:rsidRDefault="00000000">
      <w:pPr>
        <w:spacing w:after="120" w:line="276" w:lineRule="auto"/>
        <w:jc w:val="both"/>
      </w:pPr>
      <w:r>
        <w:rPr>
          <w:sz w:val="22"/>
          <w:szCs w:val="22"/>
        </w:rPr>
        <w:t xml:space="preserve">This dissertation is situated at the intersection of distributed machine learning, health informatics, information systems governance, and EU health policy. It draws on three years of research conducted within the Italian National Health Service (SSN), through an internship at OPBG IRCCS in Rome and an international research stay at Blekinge Institute of Technology in </w:t>
      </w:r>
      <w:r w:rsidR="00690224">
        <w:rPr>
          <w:sz w:val="22"/>
          <w:szCs w:val="22"/>
        </w:rPr>
        <w:t xml:space="preserve">Karlskrona, </w:t>
      </w:r>
      <w:r>
        <w:rPr>
          <w:sz w:val="22"/>
          <w:szCs w:val="22"/>
        </w:rPr>
        <w:t>Sweden, complemented by an active publication programme across eight international conferences and journals. The research is framed as a systems thesis: rather than optimising a single algorithmic component, it seeks to demonstrate that the effective deployment of FL in healthcare requires the simultaneous resolution of technical, governance, adoption, and interoperability challenges—and that these four dimensions must be designed as a coherent whole.</w:t>
      </w:r>
    </w:p>
    <w:p w14:paraId="58E69040" w14:textId="77777777" w:rsidR="00757D33" w:rsidRDefault="00000000">
      <w:pPr>
        <w:pStyle w:val="Titolo1"/>
      </w:pPr>
      <w:r>
        <w:t>Purpose of the Thesis</w:t>
      </w:r>
    </w:p>
    <w:p w14:paraId="2038C12B" w14:textId="77777777" w:rsidR="00757D33" w:rsidRDefault="00000000">
      <w:pPr>
        <w:spacing w:after="120" w:line="276" w:lineRule="auto"/>
        <w:jc w:val="both"/>
      </w:pPr>
      <w:r>
        <w:rPr>
          <w:sz w:val="22"/>
          <w:szCs w:val="22"/>
        </w:rPr>
        <w:t>The thesis addresses four interconnected Research Questions. RQ1 (Technical Framework) asks how to design FL architectures capable of handling the high statistical, infrastructural, and participation heterogeneity of hospital nodes while ensuring scalability, efficiency, and training reliability. RQ2 (Multidimensional Governance) investigates which governance models can balance technological innovation, regulatory compliance (GDPR/EHDS), economic sustainability, and ethical principles to enable trusted federated networks. RQ3 (Practical Adoption) identifies the principal barriers and enabling conditions for effective FL adoption in Italian hospitals across technological, organisational, and cultural dimensions. RQ4 (EHDS Interoperability) examines how FL can be integrated with international health standards (HL7/FHIR, OMOP/OHDSI) to ensure full compatibility with the EHDS ecosystem.</w:t>
      </w:r>
    </w:p>
    <w:p w14:paraId="3C5740E6" w14:textId="77777777" w:rsidR="00757D33" w:rsidRDefault="00000000">
      <w:pPr>
        <w:spacing w:after="120" w:line="276" w:lineRule="auto"/>
        <w:jc w:val="both"/>
      </w:pPr>
      <w:r>
        <w:rPr>
          <w:sz w:val="22"/>
          <w:szCs w:val="22"/>
        </w:rPr>
        <w:t>All four RQs converge under FENITH, the thesis’s central contribution: an integrated framework that unifies a privacy-preserving FL engine, the AIDIGOSA governance layer, an adoption readiness model, and an EHDS-compliant interoperability pipeline into a single, actionable architecture for the Italian SSN. The purpose is not merely to advance the state of the art on any single dimension, but to demonstrate that only their joint resolution enables viable, sustainable, and equitable federated healthcare AI.</w:t>
      </w:r>
    </w:p>
    <w:p w14:paraId="7A618CD2" w14:textId="77777777" w:rsidR="00757D33" w:rsidRDefault="00000000">
      <w:pPr>
        <w:pStyle w:val="Titolo1"/>
      </w:pPr>
      <w:r>
        <w:t>Methodology</w:t>
      </w:r>
    </w:p>
    <w:p w14:paraId="0B644941" w14:textId="77777777" w:rsidR="00757D33" w:rsidRDefault="00000000">
      <w:pPr>
        <w:spacing w:after="120" w:line="276" w:lineRule="auto"/>
        <w:jc w:val="both"/>
      </w:pPr>
      <w:r>
        <w:rPr>
          <w:sz w:val="22"/>
          <w:szCs w:val="22"/>
        </w:rPr>
        <w:t>The research adopts a mixed-methods, Design Science Research (DSR) approach, progressing through iterative cycles of artefact construction, empirical evaluation, and theoretical abstraction. The methodology unfolds across four complementary streams.</w:t>
      </w:r>
    </w:p>
    <w:p w14:paraId="215B0AEC" w14:textId="5DD4AB02" w:rsidR="00757D33" w:rsidRDefault="00000000">
      <w:pPr>
        <w:spacing w:after="120" w:line="276" w:lineRule="auto"/>
        <w:jc w:val="both"/>
      </w:pPr>
      <w:r>
        <w:rPr>
          <w:b/>
          <w:bCs/>
          <w:sz w:val="22"/>
          <w:szCs w:val="22"/>
        </w:rPr>
        <w:t xml:space="preserve">Experimental validation (RQ1, RQ4). </w:t>
      </w:r>
      <w:r>
        <w:rPr>
          <w:sz w:val="22"/>
          <w:szCs w:val="22"/>
        </w:rPr>
        <w:t xml:space="preserve">The capstone study FL-EHDS conducts 6,004+ controlled experiments benchmarking 17 FL algorithms—spanning classical methods (FedAvg, FedProx), server-side optimisers (FedAdam, FedYogi), variance-reduction techniques (SCAFFOLD, FedDyn), fairness-aware approaches (q-FFL, FedDecorr), and state-of-the-art personalisation methods (Ditto, HPFL from ICLR 2025, FedLESAM from ICML 2024)—across 8 primary </w:t>
      </w:r>
      <w:r w:rsidR="00575AFB">
        <w:rPr>
          <w:sz w:val="22"/>
          <w:szCs w:val="22"/>
        </w:rPr>
        <w:t xml:space="preserve">multimodal </w:t>
      </w:r>
      <w:r>
        <w:rPr>
          <w:sz w:val="22"/>
          <w:szCs w:val="22"/>
        </w:rPr>
        <w:t>clinical datasets (PTB-XL ECG, Cardiovascular, Diabetes 130-US, Heart Disease UCI, Breast Cancer, Chest X-ray, Brain Tumor MRI, Skin Cancer) under controlled non-IID conditions (Dirichlet α ∈ {0.1, 0.5, 1.0}). All results are reported as mean ± std over 3–5 seeds with Wilcoxon signed-rank tests for statistical significance.</w:t>
      </w:r>
    </w:p>
    <w:p w14:paraId="4BF191AD" w14:textId="0A96A3F3" w:rsidR="004B38B1" w:rsidRDefault="00000000">
      <w:pPr>
        <w:spacing w:after="120" w:line="276" w:lineRule="auto"/>
        <w:jc w:val="both"/>
      </w:pPr>
      <w:r w:rsidRPr="004B38B1">
        <w:rPr>
          <w:b/>
          <w:bCs/>
          <w:sz w:val="22"/>
          <w:szCs w:val="22"/>
        </w:rPr>
        <w:t xml:space="preserve">Platform development (RQ1, RQ3). </w:t>
      </w:r>
      <w:r w:rsidRPr="004B38B1">
        <w:rPr>
          <w:sz w:val="22"/>
          <w:szCs w:val="22"/>
        </w:rPr>
        <w:t>Two full-stack research platforms were developed: FLOPBG (</w:t>
      </w:r>
      <w:r w:rsidR="00C40F49" w:rsidRPr="004B38B1">
        <w:rPr>
          <w:sz w:val="22"/>
          <w:szCs w:val="22"/>
        </w:rPr>
        <w:t>with</w:t>
      </w:r>
      <w:r w:rsidRPr="004B38B1">
        <w:rPr>
          <w:sz w:val="22"/>
          <w:szCs w:val="22"/>
        </w:rPr>
        <w:t xml:space="preserve"> 11 datasets including 6 clinical imaging </w:t>
      </w:r>
      <w:r w:rsidR="004B38B1" w:rsidRPr="004B38B1">
        <w:rPr>
          <w:sz w:val="22"/>
          <w:szCs w:val="22"/>
        </w:rPr>
        <w:t>modalities</w:t>
      </w:r>
      <w:r w:rsidR="004B38B1" w:rsidRPr="004B38B1">
        <w:rPr>
          <w:sz w:val="22"/>
          <w:szCs w:val="22"/>
        </w:rPr>
        <w:t>)</w:t>
      </w:r>
      <w:r w:rsidR="006B23E7">
        <w:t xml:space="preserve">, built during the 18-month OPBG internship, </w:t>
      </w:r>
      <w:r w:rsidR="004B38B1" w:rsidRPr="004B38B1">
        <w:rPr>
          <w:sz w:val="22"/>
          <w:szCs w:val="22"/>
        </w:rPr>
        <w:t xml:space="preserve"> </w:t>
      </w:r>
      <w:r w:rsidR="004B38B1" w:rsidRPr="004B38B1">
        <w:rPr>
          <w:sz w:val="22"/>
          <w:szCs w:val="22"/>
        </w:rPr>
        <w:t xml:space="preserve">serves as the clinical validation engine: it implements a client reputation system for </w:t>
      </w:r>
      <w:r w:rsidR="004B38B1" w:rsidRPr="004B38B1">
        <w:rPr>
          <w:sz w:val="22"/>
          <w:szCs w:val="22"/>
        </w:rPr>
        <w:lastRenderedPageBreak/>
        <w:t>Byzantine-aware participation management, a real-time training dashboard, and an interactive 3D globe visualisation (globe.gl) that maps federated nodes by computational tier and participation behaviour, enabling operational monitoring of statistical heterogeneity, communication intermittency, and hardware diversity across geographically distributed hospital nodes.</w:t>
      </w:r>
      <w:r w:rsidR="006B23E7">
        <w:rPr>
          <w:sz w:val="22"/>
          <w:szCs w:val="22"/>
        </w:rPr>
        <w:t xml:space="preserve"> </w:t>
      </w:r>
      <w:r w:rsidR="004B38B1" w:rsidRPr="004B38B1">
        <w:rPr>
          <w:sz w:val="22"/>
          <w:szCs w:val="22"/>
        </w:rPr>
        <w:t>BLEKFL2 (with 8 modules exploring heterogeneity aspects, and an original 5-phase 3D educational visualisation)</w:t>
      </w:r>
      <w:r w:rsidR="006B23E7">
        <w:t>, developed during the BTH collaboration</w:t>
      </w:r>
      <w:r w:rsidR="004B38B1" w:rsidRPr="004B38B1">
        <w:rPr>
          <w:sz w:val="22"/>
          <w:szCs w:val="22"/>
        </w:rPr>
        <w:t xml:space="preserve">, </w:t>
      </w:r>
      <w:r w:rsidR="004B38B1" w:rsidRPr="004B38B1">
        <w:t>implements the five-dimensional heterogeneity taxonomy formalised in the Blekinge research proposal through eight dedicated experimental modules: label distribution skew, quantity skew, quality skew, feature distribution shift, concept drift, concept shift, catastrophic forgetting, and a heterogeneity synthesis module for multi-dimensional interaction analysis. Each module exposes controlled non-IID generation, per-module FL algorithm variants, and standardised metrics. The platform integrates ADWIN adaptive windowing and Page-Hinkley sequential change-point detectors for online distributional drift detection, and provides an original 5-phase 3D educational visualisation of the federated training lifecycle. Together, FLOPBG provides depth on clinical data and operational monitoring, while BLEKFL2 provides breadth across the heterogeneity and dynamics design space.</w:t>
      </w:r>
    </w:p>
    <w:p w14:paraId="7C8EBD89" w14:textId="77777777" w:rsidR="00757D33" w:rsidRDefault="00000000">
      <w:pPr>
        <w:spacing w:after="120" w:line="276" w:lineRule="auto"/>
        <w:jc w:val="both"/>
      </w:pPr>
      <w:r>
        <w:rPr>
          <w:b/>
          <w:bCs/>
          <w:sz w:val="22"/>
          <w:szCs w:val="22"/>
        </w:rPr>
        <w:t xml:space="preserve">Governance analysis (RQ2). </w:t>
      </w:r>
      <w:r>
        <w:rPr>
          <w:sz w:val="22"/>
          <w:szCs w:val="22"/>
        </w:rPr>
        <w:t>A multidimensional analytical framework—AIDIGOSA—was constructed through interdisciplinary analysis across four axes (technological, legal/regulatory, economic, ethical), synthesised in a full paper published at ItAIS 2025 (29 pages, 7 co-authors). A complementary human-centric perspective (FedHR5.0) explores FL for organisational learning and workforce competency development, integrating the SECI knowledge-creation model with differential privacy and Industry 5.0 principles.</w:t>
      </w:r>
    </w:p>
    <w:p w14:paraId="0B0A1A6C" w14:textId="77777777" w:rsidR="00757D33" w:rsidRDefault="00000000">
      <w:pPr>
        <w:spacing w:after="120" w:line="276" w:lineRule="auto"/>
        <w:jc w:val="both"/>
      </w:pPr>
      <w:r>
        <w:rPr>
          <w:b/>
          <w:bCs/>
          <w:sz w:val="22"/>
          <w:szCs w:val="22"/>
        </w:rPr>
        <w:t xml:space="preserve">Field investigation (RQ3). </w:t>
      </w:r>
      <w:r>
        <w:rPr>
          <w:sz w:val="22"/>
          <w:szCs w:val="22"/>
        </w:rPr>
        <w:t>A structured questionnaire was designed and administered to 23 directors of Italian public and private healthcare facilities to investigate barriers and enablers of FL adoption. The zero-response outcome is itself treated as a substantive empirical finding—evidence of deep organisational and cultural resistance to distributed AI innovation in the SSN—and is triangulated with qualitative observations from the OPBG/BTH experiences and with the existing literature synthesised in the IFKAD and ICSIS papers.</w:t>
      </w:r>
    </w:p>
    <w:p w14:paraId="1DA4590F" w14:textId="77777777" w:rsidR="00757D33" w:rsidRDefault="00000000">
      <w:pPr>
        <w:pStyle w:val="Titolo1"/>
      </w:pPr>
      <w:r>
        <w:t>Results</w:t>
      </w:r>
    </w:p>
    <w:p w14:paraId="44F9544A" w14:textId="77777777" w:rsidR="00757D33" w:rsidRDefault="00000000">
      <w:pPr>
        <w:spacing w:after="120" w:line="276" w:lineRule="auto"/>
        <w:jc w:val="both"/>
      </w:pPr>
      <w:r>
        <w:rPr>
          <w:sz w:val="22"/>
          <w:szCs w:val="22"/>
        </w:rPr>
        <w:t>The principal results are organised along the four Research Questions.</w:t>
      </w:r>
    </w:p>
    <w:p w14:paraId="2C236B6F" w14:textId="0B9F88C0" w:rsidR="00757D33" w:rsidRDefault="00000000">
      <w:pPr>
        <w:spacing w:after="120" w:line="276" w:lineRule="auto"/>
        <w:jc w:val="both"/>
      </w:pPr>
      <w:r>
        <w:rPr>
          <w:b/>
          <w:bCs/>
          <w:sz w:val="22"/>
          <w:szCs w:val="22"/>
        </w:rPr>
        <w:t xml:space="preserve">RQ1 – Technical Framework. </w:t>
      </w:r>
      <w:r>
        <w:rPr>
          <w:sz w:val="22"/>
          <w:szCs w:val="22"/>
        </w:rPr>
        <w:t>The capstone experiment reveals a counter-intuitive finding: on compact tabular clinical models (~10K parameters), the choice among 14 global aggregation algorithms is largely irrelevant (&lt;3 percentage points difference), while the choice to adopt split-head personalisation (HPFL) yields +12 to +26.8 pp improvement depending on data heterogeneity. HPFL achieves 94.8±5.6% on Cardiovascular (α=0.1) versus 68.1±5.5% for FedAvg. This result—personalisation architecture outweighs aggregation algorithm choice—is confirmed across all five tabular datasets with statistical significance (Wilcoxon p&lt;0.05). On medical imaging, Ditto is the preferred personalisation method, while HPFL shows modality-dependent reversal. The thesis introduces the Diagnostic Equity Index (DEI), a novel metric for evaluating fairness in clinical predictions beyond aggregate accuracy. Byzantine robustness experiments (108 runs with Krum defence) and differential privacy ablations (Ditto+DP reaching 89.2% vs FedAvg+DP at 52.3% at ε=1) further validate the framework’s resilience.</w:t>
      </w:r>
      <w:r w:rsidR="002900E1">
        <w:rPr>
          <w:sz w:val="22"/>
          <w:szCs w:val="22"/>
        </w:rPr>
        <w:t xml:space="preserve"> </w:t>
      </w:r>
      <w:r w:rsidR="002900E1">
        <w:t xml:space="preserve">Complementing the capstone experiments, the BLEKFL2 platform's systematic exploration across eight heterogeneity modules confirms that concept drift and feature distribution shift produce qualitatively distinct degradation patterns: </w:t>
      </w:r>
      <w:r w:rsidR="002900E1">
        <w:lastRenderedPageBreak/>
        <w:t>drift induces progressive accuracy decay detectable by ADWIN within 3–5 rounds, while feature shift causes immediate per-class performance divergence requiring domain-invariant representations. The heterogeneity synthesis module demonstrates that the simultaneous presence of label skew and concept drift—the condition most representative of real hospital federations—amplifies accuracy loss super-additively, reinforcing the thesis's central claim that personalisation architecture is the dominant design variable.</w:t>
      </w:r>
    </w:p>
    <w:p w14:paraId="65DD3EEA" w14:textId="77777777" w:rsidR="00757D33" w:rsidRDefault="00000000">
      <w:pPr>
        <w:spacing w:after="120" w:line="276" w:lineRule="auto"/>
        <w:jc w:val="both"/>
      </w:pPr>
      <w:r>
        <w:rPr>
          <w:b/>
          <w:bCs/>
          <w:sz w:val="22"/>
          <w:szCs w:val="22"/>
        </w:rPr>
        <w:t xml:space="preserve">RQ2 – Multidimensional Governance. </w:t>
      </w:r>
      <w:r>
        <w:rPr>
          <w:sz w:val="22"/>
          <w:szCs w:val="22"/>
        </w:rPr>
        <w:t>The AIDIGOSA framework provides a structured governance model articulated across four layers: technological (FL maturity, robustness, explainability), legal/regulatory (GDPR, AI Act, EHDS, MDR alignment), economic (cost-benefit analysis, value distribution, sustainability), and ethical (fairness, transparency, patient protection, digital divide). The tension matrix generated by AIDIGOSA allows stakeholders to visualise interdependencies among governance dimensions and prioritise actions. EHDS governance overhead benchmarking (18 dedicated experiments) confirms that compliance layers add less than 1.1% per-round overhead, demonstrating that regulatory compliance need not compromise computational efficiency.</w:t>
      </w:r>
    </w:p>
    <w:p w14:paraId="73C37CAF" w14:textId="14EB460E" w:rsidR="00757D33" w:rsidRDefault="00000000" w:rsidP="00A00A09">
      <w:pPr>
        <w:spacing w:after="120" w:line="276" w:lineRule="auto"/>
        <w:jc w:val="both"/>
      </w:pPr>
      <w:r>
        <w:rPr>
          <w:b/>
          <w:bCs/>
          <w:sz w:val="22"/>
          <w:szCs w:val="22"/>
        </w:rPr>
        <w:t xml:space="preserve">RQ3 – Practical Adoption. </w:t>
      </w:r>
      <w:r>
        <w:rPr>
          <w:sz w:val="22"/>
          <w:szCs w:val="22"/>
        </w:rPr>
        <w:t xml:space="preserve">The zero-response rate from 23 hospital directors reveals that the primary barriers to FL adoption are not technological but organisational and cultural: lack of awareness, absence of dedicated AI governance roles, competing priorities, and institutional inertia. This finding is corroborated by the OPBG experience, where even within a research-oriented institution, </w:t>
      </w:r>
      <w:r w:rsidR="00A00A09" w:rsidRPr="00A00A09">
        <w:rPr>
          <w:sz w:val="22"/>
          <w:szCs w:val="22"/>
        </w:rPr>
        <w:t>the proposed integration of</w:t>
      </w:r>
      <w:r w:rsidR="00A00A09">
        <w:rPr>
          <w:sz w:val="22"/>
          <w:szCs w:val="22"/>
        </w:rPr>
        <w:t xml:space="preserve"> </w:t>
      </w:r>
      <w:r>
        <w:rPr>
          <w:sz w:val="22"/>
          <w:szCs w:val="22"/>
        </w:rPr>
        <w:t>FL workflows into existing clinical IT required sustained organisational effort. The ICSIS paper extends this analysis to the territorial dimension, showing how FL-EHDS infrastructure can support health planning in areas affected by demographic decline. The FedHR5.0 framework addresses the human capital dimension, arguing that workforce competency development is a prerequisite for sustainable FL adoption.</w:t>
      </w:r>
    </w:p>
    <w:p w14:paraId="2D933212" w14:textId="77777777" w:rsidR="00757D33" w:rsidRDefault="00000000">
      <w:pPr>
        <w:spacing w:after="120" w:line="276" w:lineRule="auto"/>
        <w:jc w:val="both"/>
      </w:pPr>
      <w:r>
        <w:rPr>
          <w:b/>
          <w:bCs/>
          <w:sz w:val="22"/>
          <w:szCs w:val="22"/>
        </w:rPr>
        <w:t xml:space="preserve">RQ4 – EHDS Interoperability. </w:t>
      </w:r>
      <w:r>
        <w:rPr>
          <w:sz w:val="22"/>
          <w:szCs w:val="22"/>
        </w:rPr>
        <w:t>The FL-EHDS framework implements a three-layer compliance architecture: Layer 1 (Governance) manages HDAB integration, data permit authorisation, and Article 71 opt-out registries; Layer 2 (FL Orchestration) operates within a Secure Processing Environment with gradient aggregation, differential privacy, and GDPR-compliant audit logging; Layer 3 (Data Holders) executes local model computation with raw health data never leaving institutional boundaries. The ICID paper further integrates IDSA Dataspace Protocol and Data Mesh governance principles, proposing a hierarchical topology from institutional level through national HDABs to the European HealthData@EU node. Cross-border pharmacovigilance is validated as a reference use case.</w:t>
      </w:r>
    </w:p>
    <w:p w14:paraId="02F4B6FB" w14:textId="77777777" w:rsidR="00757D33" w:rsidRDefault="00000000">
      <w:pPr>
        <w:pStyle w:val="Titolo1"/>
      </w:pPr>
      <w:r>
        <w:t>Research Limitations</w:t>
      </w:r>
    </w:p>
    <w:p w14:paraId="011C77E1" w14:textId="755F5F30" w:rsidR="00757D33" w:rsidRDefault="00000000">
      <w:pPr>
        <w:spacing w:after="120" w:line="276" w:lineRule="auto"/>
        <w:jc w:val="both"/>
      </w:pPr>
      <w:r>
        <w:rPr>
          <w:sz w:val="22"/>
          <w:szCs w:val="22"/>
        </w:rPr>
        <w:t xml:space="preserve">Several limitations must be acknowledged. First, the experimental validation relies on publicly available clinical datasets rather than proprietary hospital data; while the primary datasets span tabular, ECG, </w:t>
      </w:r>
      <w:r w:rsidR="00AA15F8">
        <w:rPr>
          <w:sz w:val="22"/>
          <w:szCs w:val="22"/>
        </w:rPr>
        <w:t xml:space="preserve">MRI, </w:t>
      </w:r>
      <w:r>
        <w:rPr>
          <w:sz w:val="22"/>
          <w:szCs w:val="22"/>
        </w:rPr>
        <w:t xml:space="preserve">and medical imaging modalities, they serve as proxies for the heterogeneity encountered in real multi-hospital deployments. Second, the national survey’s zero-response rate, while reframed as a finding, prevents quantitative analysis of adoption barriers and limits the generalisability of RQ3 conclusions to qualitative and literature-based evidence. Third, three of the four 2026 papers (ICID, ICSIS, IFKAD) are predominantly conceptual, meaning that the governance architecture and policy recommendations have not yet been validated through real-world multi-hospital pilots. Fourth, the BLEKFL2 platform remains a research prototype with incomplete modules (model, communication, and hardware heterogeneity), </w:t>
      </w:r>
      <w:r w:rsidR="00AA15F8" w:rsidRPr="00AA15F8">
        <w:rPr>
          <w:sz w:val="22"/>
          <w:szCs w:val="22"/>
        </w:rPr>
        <w:t>aspects analyzed in the OPBG framework but which require further exploration</w:t>
      </w:r>
      <w:r w:rsidR="00AA15F8">
        <w:rPr>
          <w:sz w:val="22"/>
          <w:szCs w:val="22"/>
        </w:rPr>
        <w:t xml:space="preserve">, </w:t>
      </w:r>
      <w:r>
        <w:rPr>
          <w:sz w:val="22"/>
          <w:szCs w:val="22"/>
        </w:rPr>
        <w:t xml:space="preserve">limiting its contribution to the pedagogical/didactic dimension. Fifth, the FENITH architecture has been designed and specified but not deployed in a production SSN environment, which </w:t>
      </w:r>
      <w:r>
        <w:rPr>
          <w:sz w:val="22"/>
          <w:szCs w:val="22"/>
        </w:rPr>
        <w:lastRenderedPageBreak/>
        <w:t xml:space="preserve">constrains claims about operational scalability and real-world integration challenges. Finally, the research is </w:t>
      </w:r>
      <w:r w:rsidR="00AA15F8" w:rsidRPr="00AA15F8">
        <w:rPr>
          <w:sz w:val="22"/>
          <w:szCs w:val="22"/>
        </w:rPr>
        <w:t>intentionally</w:t>
      </w:r>
      <w:r w:rsidR="00AA15F8">
        <w:rPr>
          <w:sz w:val="22"/>
          <w:szCs w:val="22"/>
        </w:rPr>
        <w:t xml:space="preserve"> </w:t>
      </w:r>
      <w:r>
        <w:rPr>
          <w:sz w:val="22"/>
          <w:szCs w:val="22"/>
        </w:rPr>
        <w:t>primarily situated in the Italian healthcare context</w:t>
      </w:r>
      <w:r w:rsidR="001B726C">
        <w:rPr>
          <w:sz w:val="22"/>
          <w:szCs w:val="22"/>
        </w:rPr>
        <w:t xml:space="preserve"> </w:t>
      </w:r>
      <w:r w:rsidR="001B726C" w:rsidRPr="001B726C">
        <w:rPr>
          <w:sz w:val="22"/>
          <w:szCs w:val="22"/>
        </w:rPr>
        <w:t>(to provide adoptive support)</w:t>
      </w:r>
      <w:r>
        <w:rPr>
          <w:sz w:val="22"/>
          <w:szCs w:val="22"/>
        </w:rPr>
        <w:t>; while EHDS compliance provides a European framing, transferability to healthcare systems with fundamentally different governance structures remains to be demonstrated.</w:t>
      </w:r>
    </w:p>
    <w:p w14:paraId="3C2FAB2A" w14:textId="77777777" w:rsidR="00757D33" w:rsidRDefault="00000000">
      <w:pPr>
        <w:pStyle w:val="Titolo1"/>
      </w:pPr>
      <w:r>
        <w:t>Managerial Implications</w:t>
      </w:r>
    </w:p>
    <w:p w14:paraId="0BC62C1E" w14:textId="77777777" w:rsidR="00757D33" w:rsidRDefault="00000000">
      <w:pPr>
        <w:spacing w:after="120" w:line="276" w:lineRule="auto"/>
        <w:jc w:val="both"/>
      </w:pPr>
      <w:r>
        <w:rPr>
          <w:sz w:val="22"/>
          <w:szCs w:val="22"/>
        </w:rPr>
        <w:t>The findings carry direct implications for three categories of decision-makers. For healthcare CIOs and IT directors, the key actionable insight is that investment in personalisation infrastructure (i.e., split-head model architectures such as HPFL) delivers dramatically higher returns than investment in sophisticated aggregation algorithms: the choice of aggregation method among 14 tested options is practically irrelevant on tabular clinical data, while personalisation yields +12 to +27 pp accuracy gains. This simplifies procurement and architecture decisions considerably. The AIDIGOSA governance framework provides a ready-made assessment tool for evaluating FL readiness across technological, regulatory, economic, and ethical dimensions, enabling structured decision-making rather than ad hoc evaluation. The demonstration that EHDS compliance overhead is below 1.1% per round directly addresses the concern that regulatory compliance will impose prohibitive computational costs.</w:t>
      </w:r>
    </w:p>
    <w:p w14:paraId="4C9734AB" w14:textId="77777777" w:rsidR="00757D33" w:rsidRDefault="00000000">
      <w:pPr>
        <w:spacing w:after="120" w:line="276" w:lineRule="auto"/>
        <w:jc w:val="both"/>
      </w:pPr>
      <w:r>
        <w:rPr>
          <w:sz w:val="22"/>
          <w:szCs w:val="22"/>
        </w:rPr>
        <w:t>For policymakers involved in EHDS national implementation, the three-layer compliance architecture offers a replicable blueprint that maps EHDS regulatory requirements onto concrete technical components. The hierarchical topology (institutional → national HDAB → European HealthData@EU) provides a realistic deployment model that respects existing institutional structures. The survey’s zero-response finding signals that policy interventions must prioritise awareness-building, incentive structures, and dedicated AI governance roles within hospital administrations before technological deployment can succeed. For industry stakeholders, the open-source reference implementation (~40K LOC) lowers the barrier to entry for FL platform vendors targeting the European healthcare market, while the evidence-based algorithm recommendation matrix provides vendor-neutral guidance for product design.</w:t>
      </w:r>
    </w:p>
    <w:p w14:paraId="5FCC5FAF" w14:textId="77777777" w:rsidR="00757D33" w:rsidRDefault="00000000">
      <w:pPr>
        <w:pStyle w:val="Titolo1"/>
      </w:pPr>
      <w:r>
        <w:t>Originality of the Thesis</w:t>
      </w:r>
    </w:p>
    <w:p w14:paraId="3E7F9511" w14:textId="6DA3A698" w:rsidR="00757D33" w:rsidRPr="00F8011A" w:rsidRDefault="00000000">
      <w:pPr>
        <w:spacing w:after="120" w:line="276" w:lineRule="auto"/>
        <w:jc w:val="both"/>
        <w:rPr>
          <w:sz w:val="22"/>
          <w:szCs w:val="22"/>
        </w:rPr>
      </w:pPr>
      <w:r>
        <w:rPr>
          <w:sz w:val="22"/>
          <w:szCs w:val="22"/>
        </w:rPr>
        <w:t xml:space="preserve">This thesis makes several original contributions to the field. First, it is among the first doctoral works to treat FL in healthcare as a systems problem requiring the simultaneous resolution of technical, governance, adoption, and interoperability challenges, rather than optimising a single dimension in isolation. The FENITH framework embodies this systems perspective. Second, the finding that personalisation architecture outweighs aggregation algorithm choice on clinical tabular data—validated across 6,004+ experiments, 17 algorithms, and 8 datasets with statistical rigour—is, to the best of the author’s knowledge, the most comprehensive empirical demonstration of this phenomenon in the healthcare FL literature. Third, the Diagnostic Equity Index (DEI) introduces a novel metric for evaluating fairness in federated clinical predictions, addressing a gap in existing FL evaluation frameworks. Fourth, AIDIGOSA represents the first integrated governance framework specifically designed for federated healthcare AI that simultaneously addresses technological, regulatory, economic, and ethical dimensions. Fifth, the three-layer EHDS compliance architecture, integrating IDSA Dataspace Protocol and Data Mesh governance, provides the first concrete technical specification for EHDS-compliant federated learning. Sixth, the reframing of the zero-response survey outcome as evidence of organisational barriers contributes a methodologically honest account of the adoption challenges that are often underreported in the FL literature. </w:t>
      </w:r>
      <w:r w:rsidR="00860E92" w:rsidRPr="00860E92">
        <w:rPr>
          <w:sz w:val="22"/>
          <w:szCs w:val="22"/>
        </w:rPr>
        <w:t xml:space="preserve">Finally, on the pedagogical and monitoring fronts, the two prototypes offer complementary contributions. </w:t>
      </w:r>
      <w:r w:rsidR="00F8011A" w:rsidRPr="00F8011A">
        <w:rPr>
          <w:sz w:val="22"/>
          <w:szCs w:val="22"/>
        </w:rPr>
        <w:t xml:space="preserve">The BLEKFL2 platform contributes at two levels: analytically, it operationalises the five-dimensional heterogeneity taxonomy (statistical, model, communication, device, dynamic participation) into eight controlled experimental modules with </w:t>
      </w:r>
      <w:r w:rsidR="00F8011A" w:rsidRPr="00F8011A">
        <w:rPr>
          <w:sz w:val="22"/>
          <w:szCs w:val="22"/>
        </w:rPr>
        <w:lastRenderedPageBreak/>
        <w:t>integrated drift detection (ADWIN, Page-Hinkley), providing the first unified simulation environment for systematic exploration of FL heterogeneity interactions; pedagogically, its original 5-phase 3D instructional visualisation renders the distributed training lifecycle visually comprehensible for non-technical stakeholders, a rare didactic contribution in the FL literature.</w:t>
      </w:r>
      <w:r w:rsidR="00860E92" w:rsidRPr="00860E92">
        <w:rPr>
          <w:sz w:val="22"/>
          <w:szCs w:val="22"/>
        </w:rPr>
        <w:t xml:space="preserve"> FLOPBG's interactive 3D globe extends this dimension from the educational to the operational level: the geographic distribution of federated nodes is enriched by classification by computational tier and participation behavior, enabling real-time monitoring, measurement, and analysis of statistical and data distribution heterogeneity, client communication and intermittency patterns, and node physical and hardware characteristics—dimensions that, in the EHDS context, are crucial for managing real-world hospital federations.</w:t>
      </w:r>
    </w:p>
    <w:p w14:paraId="3F867482" w14:textId="77777777" w:rsidR="00757D33" w:rsidRDefault="00000000">
      <w:pPr>
        <w:pStyle w:val="Titolo1"/>
      </w:pPr>
      <w:r>
        <w:t>References</w:t>
      </w:r>
    </w:p>
    <w:p w14:paraId="722E5805" w14:textId="77777777" w:rsidR="00757D33" w:rsidRDefault="00000000">
      <w:pPr>
        <w:pStyle w:val="Titolo1"/>
      </w:pPr>
      <w:r>
        <w:t>Web Sites</w:t>
      </w:r>
    </w:p>
    <w:p w14:paraId="76F39C98" w14:textId="77777777" w:rsidR="00757D33" w:rsidRDefault="00757D33">
      <w:pPr>
        <w:spacing w:after="120"/>
        <w:jc w:val="both"/>
      </w:pPr>
    </w:p>
    <w:sectPr w:rsidR="00757D3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3289A"/>
    <w:multiLevelType w:val="hybridMultilevel"/>
    <w:tmpl w:val="B9047FF0"/>
    <w:lvl w:ilvl="0" w:tplc="9B687D00">
      <w:start w:val="1"/>
      <w:numFmt w:val="bullet"/>
      <w:lvlText w:val="●"/>
      <w:lvlJc w:val="left"/>
      <w:pPr>
        <w:ind w:left="720" w:hanging="360"/>
      </w:pPr>
    </w:lvl>
    <w:lvl w:ilvl="1" w:tplc="CC06B144">
      <w:start w:val="1"/>
      <w:numFmt w:val="bullet"/>
      <w:lvlText w:val="○"/>
      <w:lvlJc w:val="left"/>
      <w:pPr>
        <w:ind w:left="1440" w:hanging="360"/>
      </w:pPr>
    </w:lvl>
    <w:lvl w:ilvl="2" w:tplc="F0A691A2">
      <w:start w:val="1"/>
      <w:numFmt w:val="bullet"/>
      <w:lvlText w:val="■"/>
      <w:lvlJc w:val="left"/>
      <w:pPr>
        <w:ind w:left="2160" w:hanging="360"/>
      </w:pPr>
    </w:lvl>
    <w:lvl w:ilvl="3" w:tplc="7636550C">
      <w:start w:val="1"/>
      <w:numFmt w:val="bullet"/>
      <w:lvlText w:val="●"/>
      <w:lvlJc w:val="left"/>
      <w:pPr>
        <w:ind w:left="2880" w:hanging="360"/>
      </w:pPr>
    </w:lvl>
    <w:lvl w:ilvl="4" w:tplc="2FA07D78">
      <w:start w:val="1"/>
      <w:numFmt w:val="bullet"/>
      <w:lvlText w:val="○"/>
      <w:lvlJc w:val="left"/>
      <w:pPr>
        <w:ind w:left="3600" w:hanging="360"/>
      </w:pPr>
    </w:lvl>
    <w:lvl w:ilvl="5" w:tplc="ED1AAE70">
      <w:start w:val="1"/>
      <w:numFmt w:val="bullet"/>
      <w:lvlText w:val="■"/>
      <w:lvlJc w:val="left"/>
      <w:pPr>
        <w:ind w:left="4320" w:hanging="360"/>
      </w:pPr>
    </w:lvl>
    <w:lvl w:ilvl="6" w:tplc="9A38EA94">
      <w:start w:val="1"/>
      <w:numFmt w:val="bullet"/>
      <w:lvlText w:val="●"/>
      <w:lvlJc w:val="left"/>
      <w:pPr>
        <w:ind w:left="5040" w:hanging="360"/>
      </w:pPr>
    </w:lvl>
    <w:lvl w:ilvl="7" w:tplc="F7785B8A">
      <w:start w:val="1"/>
      <w:numFmt w:val="bullet"/>
      <w:lvlText w:val="●"/>
      <w:lvlJc w:val="left"/>
      <w:pPr>
        <w:ind w:left="5760" w:hanging="360"/>
      </w:pPr>
    </w:lvl>
    <w:lvl w:ilvl="8" w:tplc="1934430E">
      <w:start w:val="1"/>
      <w:numFmt w:val="bullet"/>
      <w:lvlText w:val="●"/>
      <w:lvlJc w:val="left"/>
      <w:pPr>
        <w:ind w:left="6480" w:hanging="360"/>
      </w:pPr>
    </w:lvl>
  </w:abstractNum>
  <w:num w:numId="1" w16cid:durableId="1865511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D33"/>
    <w:rsid w:val="00065D6F"/>
    <w:rsid w:val="000772FF"/>
    <w:rsid w:val="001B726C"/>
    <w:rsid w:val="001E5346"/>
    <w:rsid w:val="002900E1"/>
    <w:rsid w:val="00417FFD"/>
    <w:rsid w:val="0043282C"/>
    <w:rsid w:val="004B38B1"/>
    <w:rsid w:val="00547599"/>
    <w:rsid w:val="00575AFB"/>
    <w:rsid w:val="00690224"/>
    <w:rsid w:val="006B23E7"/>
    <w:rsid w:val="00757D33"/>
    <w:rsid w:val="00860E92"/>
    <w:rsid w:val="00A00A09"/>
    <w:rsid w:val="00AA15F8"/>
    <w:rsid w:val="00C40F49"/>
    <w:rsid w:val="00EF6B32"/>
    <w:rsid w:val="00F801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F193EB1"/>
  <w15:docId w15:val="{2FAB0548-D894-894D-A8DB-97437113F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240" w:after="120"/>
      <w:outlineLvl w:val="0"/>
    </w:pPr>
    <w:rPr>
      <w:b/>
      <w:bCs/>
      <w:sz w:val="28"/>
      <w:szCs w:val="28"/>
    </w:rPr>
  </w:style>
  <w:style w:type="paragraph" w:styleId="Titolo2">
    <w:name w:val="heading 2"/>
    <w:uiPriority w:val="9"/>
    <w:semiHidden/>
    <w:unhideWhenUsed/>
    <w:qFormat/>
    <w:pPr>
      <w:spacing w:before="200" w:after="100"/>
      <w:outlineLvl w:val="1"/>
    </w:pPr>
    <w:rPr>
      <w:b/>
      <w:bCs/>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2642</Words>
  <Characters>17491</Characters>
  <Application>Microsoft Office Word</Application>
  <DocSecurity>0</DocSecurity>
  <Lines>437</Lines>
  <Paragraphs>291</Paragraphs>
  <ScaleCrop>false</ScaleCrop>
  <Company/>
  <LinksUpToDate>false</LinksUpToDate>
  <CharactersWithSpaces>19842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Fabio Liberti</cp:lastModifiedBy>
  <cp:revision>37</cp:revision>
  <dcterms:created xsi:type="dcterms:W3CDTF">2026-03-16T12:32:00Z</dcterms:created>
  <dcterms:modified xsi:type="dcterms:W3CDTF">2026-03-16T14:11:00Z</dcterms:modified>
</cp:coreProperties>
</file>