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222.709.668-30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CLAUDINEI GONCALVES LANDGREN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6059.1903.3720.3513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R$ 442,42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