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pBdr/>
        <w:spacing w:after="80" w:before="160"/>
        <w:ind w:right="0" w:firstLine="0" w:left="0"/>
        <w:jc w:val="center"/>
        <w:rPr>
          <w:rFonts w:ascii="Liberation Serif" w:hAnsi="Liberation Serif" w:cs="Liberation Serif"/>
          <w:sz w:val="32"/>
          <w:szCs w:val="28"/>
          <w:lang w:val="pt-PT"/>
        </w:rPr>
      </w:pPr>
      <w:r>
        <w:rPr>
          <w:rFonts w:ascii="Liberation Serif" w:hAnsi="Liberation Serif" w:eastAsia="Liberation Serif" w:cs="Liberation Serif"/>
          <w:b/>
          <w:color w:val="000000"/>
          <w:sz w:val="32"/>
          <w:szCs w:val="28"/>
          <w:lang w:val="pt-PT"/>
        </w:rPr>
        <w:t xml:space="preserve">A Evolução das Arquitecturas RISC e a Relevância Contínua do Assembly: De MIPS a RISC-V</w:t>
      </w:r>
      <w:r>
        <w:rPr>
          <w:rFonts w:ascii="Liberation Serif" w:hAnsi="Liberation Serif" w:cs="Liberation Serif"/>
          <w:sz w:val="32"/>
          <w:szCs w:val="28"/>
          <w:lang w:val="pt-PT"/>
        </w:rPr>
      </w:r>
      <w:r>
        <w:rPr>
          <w:rFonts w:ascii="Liberation Serif" w:hAnsi="Liberation Serif" w:cs="Liberation Serif"/>
          <w:sz w:val="32"/>
          <w:szCs w:val="28"/>
          <w:lang w:val="pt-PT"/>
        </w:rPr>
      </w:r>
    </w:p>
    <w:p>
      <w:pPr>
        <w:pStyle w:val="705"/>
        <w:pBdr/>
        <w:spacing/>
        <w:ind w:right="0" w:firstLine="0" w:left="0"/>
        <w:rPr>
          <w:rFonts w:ascii="Liberation Serif" w:hAnsi="Liberation Serif" w:cs="Liberation Serif"/>
          <w:highlight w:val="none"/>
          <w:lang w:val="pt-PT"/>
        </w:rPr>
      </w:pPr>
      <w:r>
        <w:rPr>
          <w:rFonts w:eastAsia="Liberation Serif" w:cs="Liberation Serif"/>
          <w:color w:val="000000"/>
          <w:sz w:val="24"/>
          <w:lang w:val="pt-PT"/>
        </w:rPr>
        <w:t xml:space="preserve">Apesar do domínio das linguagens de alto nível no desenvolvimento de software, a linguagem Assembl</w:t>
      </w:r>
      <w:r>
        <w:rPr>
          <w:rFonts w:eastAsia="Liberation Serif" w:cs="Liberation Serif"/>
          <w:color w:val="000000"/>
          <w:sz w:val="24"/>
          <w:lang w:val="pt-PT"/>
        </w:rPr>
        <w:t xml:space="preserve">y continua a ser fundamental em contextos que exigem controlo direto sobre o hardware, eficiência e determinismo (Irvine, 2015). A sua relevância é constantemente reafirmada pela evolução das próprias arquiteturas de hardware. A transição de arquiteturas e</w:t>
      </w:r>
      <w:r>
        <w:rPr>
          <w:rFonts w:eastAsia="Liberation Serif" w:cs="Liberation Serif"/>
          <w:color w:val="000000"/>
          <w:sz w:val="24"/>
          <w:lang w:val="pt-PT"/>
        </w:rPr>
        <w:t xml:space="preserve">stabelecidas e proprietárias, como a MIPS, para ecossistemas abertos e modulares, como o RISC-V, não só transforma o design de processadores, como também revitaliza o papel do Assembly, demonstrando a sua importância duradoura e as suas tendências futuras.</w:t>
      </w:r>
      <w:r>
        <w:rPr>
          <w:rFonts w:ascii="Liberation Serif" w:hAnsi="Liberation Serif" w:cs="Liberation Serif"/>
          <w:highlight w:val="none"/>
          <w:lang w:val="pt-PT"/>
        </w:rPr>
      </w:r>
      <w:r>
        <w:rPr>
          <w:rFonts w:ascii="Liberation Serif" w:hAnsi="Liberation Serif" w:cs="Liberation Serif"/>
          <w:highlight w:val="none"/>
          <w:lang w:val="pt-PT"/>
        </w:rPr>
      </w:r>
    </w:p>
    <w:p>
      <w:pPr>
        <w:pStyle w:val="705"/>
        <w:pBdr/>
        <w:spacing/>
        <w:ind w:right="0" w:firstLine="0" w:left="0"/>
        <w:rPr>
          <w:rFonts w:ascii="Liberation Serif" w:hAnsi="Liberation Serif" w:cs="Liberation Serif"/>
          <w:lang w:val="pt-PT"/>
        </w:rPr>
      </w:pPr>
      <w:r>
        <w:rPr>
          <w:rFonts w:cs="Liberation Serif"/>
          <w:lang w:val="pt-PT"/>
        </w:rPr>
      </w:r>
      <w:r>
        <w:rPr>
          <w:rFonts w:ascii="Liberation Serif" w:hAnsi="Liberation Serif" w:cs="Liberation Serif"/>
          <w:lang w:val="pt-PT"/>
        </w:rPr>
      </w:r>
      <w:r>
        <w:rPr>
          <w:rFonts w:ascii="Liberation Serif" w:hAnsi="Liberation Serif" w:cs="Liberation Serif"/>
          <w:lang w:val="pt-PT"/>
        </w:rPr>
      </w:r>
    </w:p>
    <w:p>
      <w:pPr>
        <w:pStyle w:val="705"/>
        <w:pBdr/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none"/>
          <w:lang w:val="pt-PT"/>
          <w14:ligatures w14:val="none"/>
        </w:rPr>
      </w:pPr>
      <w:r>
        <w:rPr>
          <w:rFonts w:eastAsia="Liberation Serif" w:cs="Liberation Serif"/>
          <w:b/>
          <w:bCs/>
          <w:color w:val="000000"/>
          <w:sz w:val="24"/>
          <w:szCs w:val="24"/>
          <w:lang w:val="pt-PT"/>
        </w:rPr>
        <w:t xml:space="preserve">A Fundação do Assembly na Arquitetura de Computadores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none"/>
          <w:lang w:val="pt-PT"/>
          <w14:ligatures w14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none"/>
          <w:lang w:val="pt-PT"/>
          <w14:ligatures w14:val="none"/>
        </w:rPr>
      </w:r>
    </w:p>
    <w:p>
      <w:pPr>
        <w:pStyle w:val="705"/>
        <w:pBdr/>
        <w:spacing/>
        <w:ind w:right="0" w:firstLine="142" w:left="0"/>
        <w:rPr>
          <w:lang w:val="pt-PT"/>
          <w14:ligatures w14:val="none"/>
        </w:rPr>
      </w:pPr>
      <w:r>
        <w:rPr>
          <w:lang w:val="pt-PT" w:bidi="pt-PT"/>
        </w:rPr>
        <w:t xml:space="preserve">A linguagem Assembly serve como uma ponte direta entre o software e o hardware, permitindo um controlo granular sobre os recursos do processador, como registos, gestão de memória e ciclos d</w:t>
      </w:r>
      <w:r>
        <w:rPr>
          <w:lang w:val="pt-PT" w:bidi="pt-PT"/>
        </w:rPr>
        <w:t xml:space="preserve">e execução. Este controlo é indispensável em domínios críticos, como embedded systems (e.g., IoT, aviónica, dispositivos médicos), onde a eficiência e a previsibilidade temporal são requisitos não-negociáveis (Irvine, 2015; Welsh &amp; Knaggs, n.d.). O conheci</w:t>
      </w:r>
      <w:r>
        <w:rPr>
          <w:lang w:val="pt-PT" w:bidi="pt-PT"/>
        </w:rPr>
        <w:t xml:space="preserve">mento em Assembly é também crucial em áreas como a cibersegurança, para reverse engineering e análise de malware, e no desenvolvimento de componentes de baixo nível de sistemas operativos, como bootloaders e drivers (Blum, 2005; "Assembly Language," 2025).</w:t>
      </w:r>
      <w:r>
        <w:rPr>
          <w:lang w:val="pt-PT"/>
          <w14:ligatures w14:val="none"/>
        </w:rPr>
      </w:r>
      <w:r>
        <w:rPr>
          <w:lang w:val="pt-PT"/>
          <w14:ligatures w14:val="none"/>
        </w:rPr>
      </w:r>
    </w:p>
    <w:p>
      <w:pPr>
        <w:pStyle w:val="705"/>
        <w:pBdr/>
        <w:spacing/>
        <w:ind w:right="0" w:firstLine="142" w:left="0"/>
        <w:rPr>
          <w:lang w:val="pt-PT"/>
          <w14:ligatures w14:val="none"/>
        </w:rPr>
      </w:pPr>
      <w:r>
        <w:rPr>
          <w:lang w:val="pt-PT" w:bidi="pt-PT"/>
        </w:rPr>
        <w:t xml:space="preserve">Do ponto de vista educacional, o</w:t>
      </w:r>
      <w:r>
        <w:rPr>
          <w:lang w:val="pt-PT" w:bidi="pt-PT"/>
        </w:rPr>
        <w:t xml:space="preserve"> Assembly é uma ferramenta pedagógica essencial para a compreensão profunda da arquitetura de computadores, permitindo que os estudantes visualizem conceitos abstratos em ação (Vu, 2016). É neste contexto que arquiteturas como a MIPS ganharam proeminência.</w:t>
      </w:r>
      <w:r>
        <w:rPr>
          <w:lang w:val="pt-PT"/>
          <w14:ligatures w14:val="none"/>
        </w:rPr>
      </w:r>
      <w:r>
        <w:rPr>
          <w:lang w:val="pt-PT"/>
          <w14:ligatures w14:val="none"/>
        </w:rPr>
      </w:r>
    </w:p>
    <w:p>
      <w:pPr>
        <w:pStyle w:val="705"/>
        <w:pBdr/>
        <w:spacing/>
        <w:ind w:right="0" w:firstLine="142" w:left="0"/>
        <w:rPr>
          <w:rFonts w:ascii="Liberation Serif" w:hAnsi="Liberation Serif" w:cs="Liberation Serif"/>
          <w:sz w:val="26"/>
          <w:szCs w:val="26"/>
          <w:lang w:val="pt-PT"/>
        </w:rPr>
      </w:pPr>
      <w:r>
        <w:rPr>
          <w:rFonts w:cs="Liberation Serif"/>
          <w:sz w:val="26"/>
          <w:szCs w:val="26"/>
          <w:lang w:val="pt-PT"/>
        </w:rPr>
      </w:r>
      <w:r>
        <w:rPr>
          <w:rFonts w:ascii="Liberation Serif" w:hAnsi="Liberation Serif" w:cs="Liberation Serif"/>
          <w:sz w:val="26"/>
          <w:szCs w:val="26"/>
          <w:lang w:val="pt-PT"/>
        </w:rPr>
      </w:r>
      <w:r>
        <w:rPr>
          <w:rFonts w:ascii="Liberation Serif" w:hAnsi="Liberation Serif" w:cs="Liberation Serif"/>
          <w:sz w:val="26"/>
          <w:szCs w:val="26"/>
          <w:lang w:val="pt-PT"/>
        </w:rPr>
      </w:r>
    </w:p>
    <w:p>
      <w:pPr>
        <w:pStyle w:val="705"/>
        <w:pBdr/>
        <w:bidi w:val="false"/>
        <w:spacing/>
        <w:ind w:right="0" w:firstLine="0" w:left="0"/>
        <w:rPr/>
      </w:pPr>
      <w:r>
        <w:rPr>
          <w:rFonts w:eastAsia="Liberation Serif" w:cs="Liberation Serif"/>
          <w:b/>
          <w:bCs/>
          <w:color w:val="000000"/>
          <w:sz w:val="24"/>
          <w:szCs w:val="24"/>
          <w:lang w:val="pt-PT"/>
        </w:rPr>
        <w:t xml:space="preserve">MIPS: A Herança de uma Arquitetura Determinística</w:t>
      </w:r>
      <w:r/>
    </w:p>
    <w:p>
      <w:pPr>
        <w:pStyle w:val="749"/>
        <w:pBdr/>
        <w:bidi w:val="false"/>
        <w:spacing w:after="140" w:before="0" w:line="276" w:lineRule="auto"/>
        <w:ind/>
        <w:jc w:val="left"/>
        <w:rPr>
          <w:lang w:val="pt-PT"/>
        </w:rPr>
      </w:pPr>
      <w:r>
        <w:rPr>
          <w:lang w:val="pt-PT"/>
        </w:rPr>
        <w:t xml:space="preserve">Desenvolvida nos anos 80, a arquitetura MIPS (Microprocessor without Inter</w:t>
      </w:r>
      <w:r>
        <w:rPr>
          <w:lang w:val="pt-PT"/>
        </w:rPr>
        <w:t xml:space="preserve">locked Pipeline Stages) tornou-se um pilar no ensino da arquitetura de computadores e em embedded systems. Caracteriza-se por um conjunto de instruções (ISA) fixo e um modelo de memória estrito, sequential consistency, que garante que as operações são vist</w:t>
      </w:r>
      <w:r>
        <w:rPr>
          <w:lang w:val="pt-PT"/>
        </w:rPr>
        <w:t xml:space="preserve">as em ordem sequencial (Patterson &amp; Hennessy, 2017). Esta natureza determinística e previsível simplificou o desenvolvimento de compiladores e a análise de desempenho, tornando-a uma plataforma estável e robusta para a aprendizagem e para sistemas legados.</w:t>
      </w:r>
      <w:r>
        <w:rPr>
          <w:lang w:val="pt-PT"/>
        </w:rPr>
      </w:r>
      <w:r>
        <w:rPr>
          <w:lang w:val="pt-PT"/>
        </w:rPr>
      </w:r>
    </w:p>
    <w:p>
      <w:pPr>
        <w:pStyle w:val="749"/>
        <w:pBdr/>
        <w:bidi w:val="false"/>
        <w:spacing w:after="140" w:before="0" w:line="276" w:lineRule="auto"/>
        <w:ind/>
        <w:jc w:val="left"/>
        <w:rPr>
          <w:lang w:val="pt-PT"/>
        </w:rPr>
      </w:pPr>
      <w:r>
        <w:rPr>
          <w:lang w:val="pt-PT"/>
        </w:rPr>
        <w:t xml:space="preserve">No entanto, a sua natureza maioritariamente proprietária e o seu ISA monolítico limitaram a sua flexibilidade e capacidade de inovação. Nas versões mais antigas da a</w:t>
      </w:r>
      <w:r>
        <w:rPr>
          <w:lang w:val="pt-PT"/>
        </w:rPr>
        <w:t xml:space="preserve">rquitectura MIPS, operações como o branch condicional exigiam duas instruções (e.g., slt seguida de bne), embora implementações mais recentes tenham introduzido instruções de comparação e salto combinadas para maior eficiência (Patterson &amp; Hennessy, 2021).</w:t>
      </w:r>
      <w:r>
        <w:rPr>
          <w:lang w:val="pt-PT"/>
        </w:rPr>
      </w:r>
      <w:r>
        <w:rPr>
          <w:lang w:val="pt-PT"/>
        </w:rPr>
      </w:r>
    </w:p>
    <w:p>
      <w:pPr>
        <w:pStyle w:val="749"/>
        <w:pBdr/>
        <w:bidi w:val="false"/>
        <w:spacing w:after="140" w:before="0" w:line="276" w:lineRule="auto"/>
        <w:ind/>
        <w:jc w:val="left"/>
        <w:rPr>
          <w:lang w:val="pt-PT"/>
        </w:rPr>
      </w:pPr>
      <w:r>
        <w:rPr>
          <w:lang w:val="pt-BR"/>
        </w:rPr>
        <w:t xml:space="preserve">Com a c</w:t>
      </w:r>
      <w:r>
        <w:rPr>
          <w:lang w:val="pt-PT"/>
        </w:rPr>
        <w:t xml:space="preserve">ria</w:t>
      </w:r>
      <w:r>
        <w:rPr>
          <w:lang w:val="pt-BR"/>
        </w:rPr>
        <w:t xml:space="preserve">ção de RISC-V</w:t>
      </w:r>
      <w:r>
        <w:rPr>
          <w:lang w:val="pt-PT"/>
        </w:rPr>
        <w:t xml:space="preserve"> em 2010 na Universidade de Berkeley,</w:t>
      </w:r>
      <w:r>
        <w:rPr>
          <w:lang w:val="pt-BR"/>
        </w:rPr>
        <w:t xml:space="preserve">que </w:t>
      </w:r>
      <w:r>
        <w:rPr>
          <w:lang w:val="pt-PT"/>
        </w:rPr>
        <w:t xml:space="preserve">representa uma mudança de paradigma. Sendo uma arquitetura de hardware open-source, elimina os custos de licenciamento e promove</w:t>
      </w:r>
      <w:r>
        <w:rPr>
          <w:lang w:val="pt-PT"/>
        </w:rPr>
        <w:t xml:space="preserve"> uma cultura de colaboração e inovação (Asanović et al., 2016). A sua principal característica é a modularidade: um ISA base mínimo (e.g., RV32I, que fornece operações básicas com inteiros) pode ser estendido com extensões standard que adicionam novos conj</w:t>
      </w:r>
      <w:r>
        <w:rPr>
          <w:lang w:val="pt-PT"/>
        </w:rPr>
        <w:t xml:space="preserve">untos de instruções especializadas. Por exemplo, a extensão 'M' adiciona instruções de multiplicação e divisão (como mul, div), enquanto a extensão 'F' introduz um conjunto completo de instruções de ponto flutuante (como fadd.s, fmul.s) que operam sobre re</w:t>
      </w:r>
      <w:r>
        <w:rPr>
          <w:lang w:val="pt-PT"/>
        </w:rPr>
        <w:t xml:space="preserve">gistos dedicados. Estas extensões podem ser combinadas (e.g., RV32IMF) ou complementadas com extensões customizadas, permitindo a criação de processadores altamente especializados para domínios como IA, IoT e computação de alto desempenho (Waterman, 2016).</w:t>
      </w:r>
      <w:r>
        <w:rPr>
          <w:lang w:val="pt-PT"/>
        </w:rPr>
      </w:r>
      <w:r>
        <w:rPr>
          <w:lang w:val="pt-PT"/>
        </w:rPr>
      </w:r>
    </w:p>
    <w:p>
      <w:pPr>
        <w:pStyle w:val="749"/>
        <w:pBdr/>
        <w:bidi w:val="false"/>
        <w:spacing w:after="140" w:before="0" w:line="276" w:lineRule="auto"/>
        <w:ind/>
        <w:jc w:val="left"/>
        <w:rPr/>
      </w:pPr>
      <w:r>
        <w:rPr>
          <w:lang w:val="pt-PT"/>
        </w:rPr>
        <w:t xml:space="preserve">Esta flexibilidade reflecte-se no design do ISA. O RISC-V adota um modelo de</w:t>
      </w:r>
      <w:r>
        <w:rPr>
          <w:lang w:val="pt-PT"/>
        </w:rPr>
        <w:t xml:space="preserve"> memória relaxado, que melhora o desempenho ao permitir a reordenação de acessos, exigindo o uso de barreiras de memória (instruções fence) para garantir a consistência quando necessário. Além disso, oferece instruções mais eficientes, como os branches com</w:t>
      </w:r>
      <w:r>
        <w:rPr>
          <w:lang w:val="pt-PT"/>
        </w:rPr>
        <w:t xml:space="preserve">parativos directos (e.g., blt), que simplificam o hardware e reduzem a latência (Patterson &amp; Hennessy, 2017). A própria MIPS Technologies, reconhecendo esta tendência, anunciou a sua transição para designs baseados em RISC-V (MIPS Technologies, 2021–2025).</w:t>
      </w:r>
      <w:r/>
    </w:p>
    <w:p>
      <w:pPr>
        <w:pStyle w:val="705"/>
        <w:pBdr/>
        <w:bidi w:val="false"/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lang w:val="pt-PT"/>
          <w14:ligatures w14:val="none"/>
        </w:rPr>
      </w:pPr>
      <w:r>
        <w:rPr>
          <w:rFonts w:eastAsia="Liberation Serif" w:cs="Liberation Serif"/>
          <w:b/>
          <w:bCs/>
          <w:color w:val="000000"/>
          <w:sz w:val="24"/>
          <w:szCs w:val="24"/>
          <w:lang w:val="pt-PT"/>
        </w:rPr>
        <w:t xml:space="preserve">O Impacto na Relevância e Futuro do Assembly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lang w:val="pt-PT"/>
          <w14:ligatures w14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lang w:val="pt-PT"/>
          <w14:ligatures w14:val="none"/>
        </w:rPr>
      </w:r>
    </w:p>
    <w:p>
      <w:pPr>
        <w:pStyle w:val="749"/>
        <w:pBdr/>
        <w:bidi w:val="false"/>
        <w:spacing w:after="140" w:before="0" w:line="276" w:lineRule="auto"/>
        <w:ind/>
        <w:jc w:val="left"/>
        <w:rPr/>
      </w:pPr>
      <w:r>
        <w:rPr>
          <w:lang w:val="pt-PT"/>
        </w:rPr>
        <w:t xml:space="preserve">A evolução das arquiteturas de hardware não torna o Assembly obsoleto</w:t>
      </w:r>
      <w:r>
        <w:rPr>
          <w:lang w:val="pt-BR"/>
        </w:rPr>
        <w:t xml:space="preserve">,</w:t>
      </w:r>
      <w:r>
        <w:rPr>
          <w:lang w:val="pt-PT"/>
        </w:rPr>
        <w:t xml:space="preserve"> pelo contrário reforça a sua relevância e aponta n</w:t>
      </w:r>
      <w:r>
        <w:rPr>
          <w:lang w:val="pt-PT"/>
        </w:rPr>
        <w:t xml:space="preserve">ovas direções. A capacidade de criar extensões de ISA customizadas exige que programadores dominem o Assembly para programar e validar estas novas instruções. Em sistemas críticos e de alta segurança, a transparência proporcionada por arquiteturas abertas </w:t>
      </w:r>
      <w:r>
        <w:rPr>
          <w:lang w:val="pt-PT"/>
        </w:rPr>
        <w:t xml:space="preserve">permite uma auditoria mais rigorosa, e o Assembly continua a ser a ferramenta de eleição para implementar rotinas seguras, como as de criptografia com execução em tempo constante (constant-time), e para verificar a implementação de baixo nível do hardware.</w:t>
      </w:r>
      <w:r/>
    </w:p>
    <w:p>
      <w:pPr>
        <w:pStyle w:val="749"/>
        <w:pBdr/>
        <w:bidi w:val="false"/>
        <w:spacing w:after="140" w:before="0" w:line="276" w:lineRule="auto"/>
        <w:ind/>
        <w:jc w:val="left"/>
        <w:rPr/>
      </w:pPr>
      <w:r>
        <w:rPr>
          <w:lang w:val="pt-PT"/>
        </w:rPr>
        <w:t xml:space="preserve">A expansão da IoT e da computação de extremidad</w:t>
      </w:r>
      <w:r>
        <w:rPr>
          <w:lang w:val="pt-PT"/>
        </w:rPr>
        <w:t xml:space="preserve">e (edge computing) cria uma procura crescente por processadores de baixo consumo e alta eficiência. O Assembly permite extrair o máximo de desempenho destes dispositivos com recursos limitados. A filosofia de modularização introduz possibilidades particula</w:t>
      </w:r>
      <w:r>
        <w:rPr>
          <w:lang w:val="pt-PT"/>
        </w:rPr>
        <w:t xml:space="preserve">rmente interessantes para paradigmas emergentes. A computação quântica e neuromórfica, embora procurem afastar-se das arquiteturas tradicionais baseadas em RISC, podem beneficiar desta abordagem modular: cada sector especializado da computação neuromórfica</w:t>
      </w:r>
      <w:r>
        <w:rPr>
          <w:lang w:val="pt-BR"/>
        </w:rPr>
        <w:t xml:space="preserve">,</w:t>
      </w:r>
      <w:r>
        <w:rPr>
          <w:lang w:val="pt-PT"/>
        </w:rPr>
        <w:t xml:space="preserve"> como redes neuronais analógicas, </w:t>
      </w:r>
      <w:r>
        <w:rPr>
          <w:lang w:val="pt-BR"/>
        </w:rPr>
        <w:t xml:space="preserve">registadores de memoria </w:t>
      </w:r>
      <w:r>
        <w:rPr>
          <w:lang w:val="pt-PT"/>
        </w:rPr>
        <w:t xml:space="preserve">ou circuitos spike-based</w:t>
      </w:r>
      <w:r>
        <w:rPr>
          <w:lang w:val="pt-BR"/>
        </w:rPr>
        <w:t xml:space="preserve">, </w:t>
      </w:r>
      <w:r>
        <w:rPr>
          <w:lang w:val="pt-PT"/>
        </w:rPr>
        <w:t xml:space="preserve">pode ser impl</w:t>
      </w:r>
      <w:r>
        <w:rPr>
          <w:lang w:val="pt-PT"/>
        </w:rPr>
        <w:t xml:space="preserve">ementado como um módulo independente com o seu próprio conjunto de instruções. Esta modularidade permite que o Assembly se adapte e permaneça relevante mesmo em arquitecturas radicalmente diferentes, uma vez que cada módulo especializado necessitará de pro</w:t>
      </w:r>
      <w:r>
        <w:rPr>
          <w:lang w:val="pt-PT"/>
        </w:rPr>
        <w:t xml:space="preserve">gramação de baixo nível para otimizar algoritmos e controlar o hardware de forma precisa (Welsh &amp; Knaggs, n.d.). O princípio do controlo granular sobre a máquina, que o Assembly representa, mantém-se fundamental independentemente da arquitetura subjacente.</w:t>
      </w:r>
      <w:r/>
    </w:p>
    <w:p>
      <w:pPr>
        <w:pStyle w:val="705"/>
        <w:pBdr/>
        <w:bidi w:val="false"/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ff0000"/>
          <w:sz w:val="24"/>
          <w:szCs w:val="24"/>
          <w14:ligatures w14:val="none"/>
        </w:rPr>
      </w:pPr>
      <w:r>
        <w:rPr>
          <w:rFonts w:eastAsia="Liberation Serif" w:cs="Liberation Serif"/>
          <w:b/>
          <w:bCs/>
          <w:color w:val="ff0000"/>
          <w:sz w:val="24"/>
          <w:szCs w:val="24"/>
          <w:lang w:val="pt-PT"/>
        </w:rPr>
        <w:t xml:space="preserve">Conclusão</w:t>
      </w:r>
      <w:r>
        <w:rPr>
          <w:rFonts w:ascii="Liberation Serif" w:hAnsi="Liberation Serif" w:eastAsia="Liberation Serif" w:cs="Liberation Serif"/>
          <w:b/>
          <w:bCs/>
          <w:color w:val="ff0000"/>
          <w:sz w:val="24"/>
          <w:szCs w:val="24"/>
          <w14:ligatures w14:val="none"/>
        </w:rPr>
      </w:r>
      <w:r>
        <w:rPr>
          <w:rFonts w:ascii="Liberation Serif" w:hAnsi="Liberation Serif" w:eastAsia="Liberation Serif" w:cs="Liberation Serif"/>
          <w:b/>
          <w:bCs/>
          <w:color w:val="ff0000"/>
          <w:sz w:val="24"/>
          <w:szCs w:val="24"/>
          <w14:ligatures w14:val="none"/>
        </w:rPr>
      </w:r>
    </w:p>
    <w:p w14:paraId="067C0FCB">
      <w:pPr>
        <w:pStyle w:val="749"/>
        <w:pBdr/>
        <w:bidi w:val="false"/>
        <w:spacing w:after="140" w:before="0" w:line="276" w:lineRule="auto"/>
        <w:ind/>
        <w:jc w:val="left"/>
        <w:rPr/>
      </w:pPr>
      <w:r>
        <w:rPr>
          <w:color w:val="ff0000"/>
          <w:lang w:val="pt-PT"/>
        </w:rPr>
        <w:t xml:space="preserve">A evolução das arquiteturas MIPS e RISC-V não reduz a importância do Assembly, mas redefine o seu papel em áreas como robótica, IA e </w:t>
      </w:r>
      <w:r>
        <w:rPr>
          <w:color w:val="ff0000"/>
          <w:u w:val="none"/>
          <w:lang w:val="pt-PT"/>
        </w:rPr>
        <w:t xml:space="preserve">IoT</w:t>
      </w:r>
      <w:r>
        <w:rPr>
          <w:color w:val="ff0000"/>
          <w:lang w:val="pt-PT"/>
        </w:rPr>
        <w:t xml:space="preserve">. Na robótica, permite controlo em tempo real com baixa latência; em IA embarcada, possibilita a otimização de operações </w:t>
      </w:r>
      <w:r>
        <w:rPr>
          <w:color w:val="ff0000"/>
          <w:lang w:val="pt-PT"/>
        </w:rPr>
        <w:t xml:space="preserve">e eficiência energética; e no </w:t>
      </w:r>
      <w:r>
        <w:rPr>
          <w:color w:val="ff0000"/>
          <w:u w:val="none"/>
          <w:lang w:val="pt-PT"/>
        </w:rPr>
        <w:t xml:space="preserve">IoT</w:t>
      </w:r>
      <w:r>
        <w:rPr>
          <w:color w:val="ff0000"/>
          <w:lang w:val="pt-PT"/>
        </w:rPr>
        <w:t xml:space="preserve">, garante eficiência, segurança e determinismo em dispositivos com recursos limitados.</w:t>
      </w:r>
      <w:r>
        <w:rPr>
          <w:color w:val="ff0000"/>
          <w:lang w:val="pt-PT"/>
        </w:rPr>
      </w:r>
      <w:r>
        <w:rPr>
          <w:color w:val="ff0000"/>
          <w:lang w:val="pt-PT"/>
        </w:rPr>
      </w:r>
      <w:r>
        <w:rPr>
          <w:color w:val="ff0000"/>
          <w:lang w:val="pt-PT"/>
        </w:rPr>
      </w:r>
      <w:r>
        <w:rPr>
          <w:color w:val="ff0000"/>
          <w:lang w:val="pt-PT"/>
        </w:rPr>
      </w:r>
    </w:p>
    <w:p>
      <w:pPr>
        <w:pStyle w:val="749"/>
        <w:pBdr/>
        <w:bidi w:val="false"/>
        <w:spacing w:after="140" w:before="0" w:line="276" w:lineRule="auto"/>
        <w:ind/>
        <w:jc w:val="left"/>
        <w:rPr>
          <w:color w:val="ff0000"/>
          <w:highlight w:val="none"/>
        </w:rPr>
      </w:pPr>
      <w:r>
        <w:rPr>
          <w:color w:val="ff0000"/>
          <w:lang w:val="pt-PT"/>
        </w:rPr>
        <w:t xml:space="preserve">Assim, o </w:t>
      </w:r>
      <w:r>
        <w:rPr>
          <w:color w:val="ff0000"/>
          <w:u w:val="none"/>
          <w:lang w:val="pt-PT"/>
        </w:rPr>
        <w:t xml:space="preserve">Assembly </w:t>
      </w:r>
      <w:r>
        <w:rPr>
          <w:color w:val="ff0000"/>
          <w:lang w:val="pt-PT"/>
        </w:rPr>
        <w:t xml:space="preserve">permanece uma competência vital, essencial em contextos onde controlo, desempenho e segurança são críticos, continuando a desempenhar um papel relevante no futuro da computação.</w:t>
      </w:r>
      <w:r>
        <w:rPr>
          <w:color w:val="ff0000"/>
          <w:lang w:val="pt-PT"/>
        </w:rPr>
      </w:r>
      <w:r>
        <w:rPr>
          <w:color w:val="ff0000"/>
          <w:lang w:val="pt-PT"/>
        </w:rPr>
      </w:r>
      <w:r>
        <w:rPr>
          <w:color w:val="ff0000"/>
          <w:highlight w:val="none"/>
        </w:rPr>
      </w:r>
    </w:p>
    <w:p>
      <w:pPr>
        <w:pStyle w:val="705"/>
        <w:pBdr/>
        <w:shd w:val="nil" w:color="auto"/>
        <w:bidi w:val="false"/>
        <w:spacing/>
        <w:ind/>
        <w:rPr>
          <w:b/>
          <w:bCs/>
          <w:color w:val="auto"/>
          <w:highlight w:val="none"/>
          <w:lang w:val="pt-PT"/>
        </w:rPr>
      </w:pPr>
      <w:r>
        <w:rPr>
          <w:b/>
          <w:bCs/>
          <w:color w:val="auto"/>
          <w:lang w:val="pt-PT"/>
        </w:rPr>
      </w:r>
      <w:r>
        <w:br w:type="page" w:clear="all"/>
      </w:r>
      <w:r>
        <w:rPr>
          <w:b/>
          <w:bCs/>
          <w:color w:val="auto"/>
          <w:highlight w:val="none"/>
          <w:lang w:val="pt-PT"/>
        </w:rPr>
      </w:r>
      <w:r>
        <w:rPr>
          <w:b/>
          <w:bCs/>
          <w:color w:val="auto"/>
          <w:highlight w:val="none"/>
          <w:lang w:val="pt-PT"/>
        </w:rPr>
      </w:r>
    </w:p>
    <w:p>
      <w:pPr>
        <w:pStyle w:val="706"/>
        <w:pBdr/>
        <w:tabs>
          <w:tab w:val="clear" w:leader="none" w:pos="709"/>
          <w:tab w:val="left" w:leader="none" w:pos="1898"/>
        </w:tabs>
        <w:bidi w:val="false"/>
        <w:spacing w:after="120" w:before="0"/>
        <w:ind/>
        <w:jc w:val="left"/>
        <w:rPr>
          <w:b/>
          <w:bCs/>
          <w:color w:val="auto"/>
          <w:highlight w:val="none"/>
          <w:shd w:val="clear" w:color="auto" w:fill="auto"/>
          <w:lang w:val="pt-PT"/>
        </w:rPr>
      </w:pPr>
      <w:r>
        <w:rPr>
          <w:b/>
          <w:bCs/>
          <w:color w:val="auto"/>
          <w:shd w:val="clear" w:color="auto" w:fill="auto"/>
          <w:lang w:val="pt-PT"/>
        </w:rPr>
        <w:t xml:space="preserve">Bibliografia</w:t>
      </w:r>
      <w:r>
        <w:rPr>
          <w:b/>
          <w:bCs/>
          <w:color w:val="auto"/>
          <w:shd w:val="clear" w:color="auto" w:fill="auto"/>
          <w:lang w:val="pt-PT"/>
        </w:rPr>
        <w:tab/>
      </w:r>
      <w:r>
        <w:rPr>
          <w:b/>
          <w:bCs/>
          <w:color w:val="auto"/>
          <w:highlight w:val="none"/>
          <w:shd w:val="clear" w:color="auto" w:fill="auto"/>
          <w:lang w:val="pt-PT"/>
        </w:rPr>
      </w:r>
      <w:r>
        <w:rPr>
          <w:b/>
          <w:bCs/>
          <w:color w:val="auto"/>
          <w:highlight w:val="none"/>
          <w:shd w:val="clear" w:color="auto" w:fill="auto"/>
          <w:lang w:val="pt-PT"/>
        </w:rPr>
      </w:r>
    </w:p>
    <w:p w14:paraId="316A5837">
      <w:pPr>
        <w:pStyle w:val="706"/>
        <w:pBdr/>
        <w:tabs>
          <w:tab w:val="clear" w:leader="none" w:pos="709"/>
          <w:tab w:val="left" w:leader="none" w:pos="1898"/>
        </w:tabs>
        <w:bidi w:val="false"/>
        <w:spacing w:after="120" w:before="0"/>
        <w:ind/>
        <w:jc w:val="left"/>
        <w:rPr>
          <w:b/>
          <w:bCs/>
          <w:color w:val="auto"/>
          <w:highlight w:val="none"/>
          <w:lang w:val="pt-PT"/>
        </w:rPr>
      </w:pPr>
      <w:r>
        <w:rPr>
          <w:b/>
          <w:bCs/>
          <w:color w:val="auto"/>
          <w:highlight w:val="none"/>
          <w:shd w:val="clear" w:color="auto" w:fill="auto"/>
          <w:lang w:val="pt-PT" w:bidi="pt-PT"/>
        </w:rPr>
      </w:r>
      <w:r>
        <w:rPr>
          <w:b/>
          <w:bCs/>
          <w:color w:val="auto"/>
          <w:highlight w:val="none"/>
          <w:shd w:val="clear" w:color="auto" w:fill="auto"/>
          <w:lang w:val="pt-PT"/>
        </w:rPr>
      </w:r>
      <w:r>
        <w:rPr>
          <w:b/>
          <w:bCs/>
          <w:color w:val="auto"/>
          <w:highlight w:val="none"/>
          <w:lang w:val="pt-PT"/>
        </w:rPr>
      </w:r>
    </w:p>
    <w:p>
      <w:pPr>
        <w:pStyle w:val="705"/>
        <w:numPr>
          <w:ilvl w:val="0"/>
          <w:numId w:val="1"/>
        </w:numPr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  <w:t xml:space="preserve">Assembly language. (2025). In Wikipedia. </w:t>
      </w:r>
      <w:hyperlink r:id="rId9" w:tooltip="https://en.wikipedia.org/wiki/Assembly_language" w:history="1">
        <w:r>
          <w:rPr>
            <w:rStyle w:val="746"/>
            <w:lang w:val="pt-PT"/>
          </w:rPr>
          <w:t xml:space="preserve">https://en.wikipedia.org/wiki/Assembly_language</w:t>
        </w:r>
      </w:hyperlink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0"/>
        </w:numPr>
        <w:pBdr/>
        <w:bidi w:val="false"/>
        <w:spacing/>
        <w:ind w:firstLine="0" w:left="720"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rPr>
          <w:rStyle w:val="746"/>
          <w:lang w:val="pt-PT"/>
        </w:rPr>
        <w:t xml:space="preserve">Asanović, K., Patterson, D. A., &amp; Members of the RISC-V Foundation. (2016). The case for open instruction sets. </w:t>
      </w:r>
      <w:r>
        <w:rPr>
          <w:rStyle w:val="746"/>
          <w:i/>
          <w:iCs/>
          <w:lang w:val="pt-PT"/>
        </w:rPr>
        <w:t xml:space="preserve">Communications of the ACM</w:t>
      </w:r>
      <w:r>
        <w:rPr>
          <w:rStyle w:val="746"/>
          <w:lang w:val="pt-PT"/>
        </w:rPr>
        <w:t xml:space="preserve">.</w:t>
      </w:r>
      <w:r/>
    </w:p>
    <w:p>
      <w:pPr>
        <w:pStyle w:val="705"/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  <w:t xml:space="preserve">Blem, E., Menon, J., &amp; Sankaralingam, K. (n.d.). A Detailed Analysis of Contemporary ARM and x86 Architectures. University of Wisconsin-Madison. (</w:t>
      </w:r>
      <w:hyperlink r:id="rId10" w:tooltip="https://www.researchgate.net/publication/266457125_A_Detailed_Analysis_of_Contemporary_ARM_and_x86_Architectures" w:history="1">
        <w:r>
          <w:rPr>
            <w:rStyle w:val="746"/>
            <w:lang w:val="pt-PT"/>
          </w:rPr>
          <w:t xml:space="preserve">https://www.researchgate.net/publication/266457125_A_Detailed_Analysis_of_Contemporary_ARM_and_x86_Architectures</w:t>
        </w:r>
      </w:hyperlink>
      <w:r>
        <w:rPr>
          <w:lang w:val="pt-PT"/>
        </w:rPr>
        <w:t xml:space="preserve">)</w:t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0"/>
        </w:numPr>
        <w:pBdr/>
        <w:bidi w:val="false"/>
        <w:spacing/>
        <w:ind w:firstLine="0" w:left="720"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  <w:t xml:space="preserve">Blum, R. (2005). Professional assembly language. Wiley. (</w:t>
      </w:r>
      <w:hyperlink r:id="rId11" w:tooltip="https://dn720603.ca.archive.org/0/items/Professional_Assembly_Language_2005/Professional_Assembly_Language_2005.pdf" w:history="1">
        <w:r>
          <w:rPr>
            <w:rStyle w:val="746"/>
            <w:lang w:val="pt-PT"/>
          </w:rPr>
          <w:t xml:space="preserve">https://dn720603.ca.archive.org/0/items/Professional_Assembly_Language_2005/Professional_Assembly_Language_2005.pdf</w:t>
        </w:r>
      </w:hyperlink>
      <w:r>
        <w:rPr>
          <w:lang w:val="pt-PT"/>
        </w:rPr>
        <w:t xml:space="preserve">)</w:t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0"/>
        </w:numPr>
        <w:pBdr/>
        <w:bidi w:val="false"/>
        <w:spacing/>
        <w:ind w:firstLine="0" w:left="720"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  <w:t xml:space="preserve">Irvine, K. R. (2015). Assembly language for x86 processors (7th ed.). Pearson.(</w:t>
      </w:r>
      <w:hyperlink r:id="rId12" w:tooltip="https://www.asmirvine.com/files/FrontMatter_7e.pdf" w:history="1">
        <w:r>
          <w:rPr>
            <w:rStyle w:val="746"/>
            <w:lang w:val="pt-PT"/>
          </w:rPr>
          <w:t xml:space="preserve">https://www.asmirvine.com/files/FrontMatter_7e.pdf</w:t>
        </w:r>
      </w:hyperlink>
      <w:r>
        <w:rPr>
          <w:lang w:val="pt-PT"/>
        </w:rPr>
        <w:t xml:space="preserve">)</w:t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MIPS Technologies. (2020). </w:t>
      </w:r>
      <w:r>
        <w:rPr>
          <w:i/>
          <w:iCs/>
        </w:rPr>
        <w:t xml:space="preserve">MIPS32 Architecture for Programmers</w:t>
      </w:r>
      <w:r>
        <w:t xml:space="preserve">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MIPS Technologies. (2021–2025). </w:t>
      </w:r>
      <w:r>
        <w:rPr>
          <w:i/>
          <w:iCs/>
        </w:rPr>
        <w:t xml:space="preserve">MIPS Transition to RISC-V Compatible Designs</w:t>
      </w:r>
      <w:r>
        <w:t xml:space="preserve">. Documentação oficial.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Patterson, D. A., &amp; Hennessy, J. L. (2017). </w:t>
      </w:r>
      <w:r>
        <w:rPr>
          <w:i/>
          <w:iCs/>
        </w:rPr>
        <w:t xml:space="preserve">Computer organization and design: The hardware/software interface – RISC-V Edition</w:t>
      </w:r>
      <w:r>
        <w:t xml:space="preserve">. Morgan Kaufmann.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Patterson, D. A., &amp; Hennessy, J. L. (2021). </w:t>
      </w:r>
      <w:r>
        <w:rPr>
          <w:i/>
          <w:iCs/>
        </w:rPr>
        <w:t xml:space="preserve">Computer organization and design RISC-V Edition</w:t>
      </w:r>
      <w:r>
        <w:t xml:space="preserve"> (2nd ed.). Morgan Kaufmann.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RISC-V International. (2024–2025). </w:t>
      </w:r>
      <w:r>
        <w:rPr>
          <w:i/>
          <w:iCs/>
        </w:rPr>
        <w:t xml:space="preserve">RISC-V Specifications and Ecosystem Reports</w:t>
      </w:r>
      <w:r>
        <w:t xml:space="preserve">. riscv.org.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RISC-V International &amp; Linux Foundation. (2025). </w:t>
      </w:r>
      <w:r>
        <w:rPr>
          <w:i/>
          <w:iCs/>
        </w:rPr>
        <w:t xml:space="preserve">State of RISC-V Software Ecosystem</w:t>
      </w:r>
      <w:r>
        <w:t xml:space="preserve">. Relatório anual.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Vários autores. (2023–2025). Artigos e benchmarks de migração MIPS → RISC-V (diversas conferências: Hot Chips, ISCA, MICRO).</w:t>
      </w:r>
      <w:r/>
    </w:p>
    <w:p>
      <w:pPr>
        <w:pStyle w:val="705"/>
        <w:numPr>
          <w:ilvl w:val="0"/>
          <w:numId w:val="0"/>
        </w:numPr>
        <w:pBdr/>
        <w:bidi w:val="false"/>
        <w:spacing/>
        <w:ind w:firstLine="0" w:left="720"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  <w:t xml:space="preserve">Vu, H. (2016). The Forgotten Assembly Programming Language. (</w:t>
      </w:r>
      <w:hyperlink r:id="rId13" w:tooltip="https://jsaer.com/download/vol-3-iss-1-2016/JSAER2016-03-01-17-20.pdf" w:history="1">
        <w:r>
          <w:rPr>
            <w:rStyle w:val="746"/>
            <w:lang w:val="pt-PT"/>
          </w:rPr>
          <w:t xml:space="preserve">https://jsaer.com/download/vol-3-iss-1-2016/JSAER2016-03-01-17-20.pdf</w:t>
        </w:r>
      </w:hyperlink>
      <w:r>
        <w:rPr>
          <w:lang w:val="pt-PT"/>
        </w:rPr>
        <w:t xml:space="preserve">)</w:t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Waterman, A. (2016). </w:t>
      </w:r>
      <w:r>
        <w:rPr>
          <w:i/>
          <w:iCs/>
        </w:rPr>
        <w:t xml:space="preserve">Design of the RISC-V Instruction Set Architecture</w:t>
      </w:r>
      <w:r>
        <w:t xml:space="preserve"> [Tese de Doutoramento, University of California, Berkeley].</w:t>
      </w:r>
      <w:r/>
    </w:p>
    <w:p>
      <w:pPr>
        <w:pStyle w:val="705"/>
        <w:numPr>
          <w:ilvl w:val="0"/>
          <w:numId w:val="1"/>
        </w:numPr>
        <w:pBdr/>
        <w:spacing w:line="360" w:lineRule="auto"/>
        <w:ind/>
        <w:rPr/>
      </w:pPr>
      <w:r>
        <w:t xml:space="preserve">Waterman, A., &amp; Asanović, K. (Eds.). (2017). </w:t>
      </w:r>
      <w:r>
        <w:rPr>
          <w:i/>
          <w:iCs/>
        </w:rPr>
        <w:t xml:space="preserve">The RISC-V Instruction Set Manual, Volume I: User-Level ISA</w:t>
      </w:r>
      <w:r>
        <w:t xml:space="preserve">. RISC-V Foundation.</w:t>
      </w:r>
      <w:r/>
    </w:p>
    <w:p>
      <w:pPr>
        <w:pStyle w:val="705"/>
        <w:numPr>
          <w:ilvl w:val="0"/>
          <w:numId w:val="0"/>
        </w:numPr>
        <w:pBdr/>
        <w:bidi w:val="false"/>
        <w:spacing/>
        <w:ind w:firstLine="0" w:left="720"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05"/>
        <w:numPr>
          <w:ilvl w:val="0"/>
          <w:numId w:val="1"/>
        </w:numPr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  <w:t xml:space="preserve">Welsh, S., &amp; Knaggs, P. (n.d.). ARM Assembly Language Programming. University of Bournemouth. (</w:t>
      </w:r>
      <w:hyperlink r:id="rId14" w:tooltip="https://ic.unicamp.br/~celio/mc404-2012/ARMdocs/ARM_AssyLang.pdf" w:history="1">
        <w:r>
          <w:rPr>
            <w:rStyle w:val="746"/>
            <w:lang w:val="pt-PT"/>
          </w:rPr>
          <w:t xml:space="preserve">https://ic.unicamp.br/~celio/mc404-2012/ARMdocs/ARM_AssyLang.pdf</w:t>
        </w:r>
      </w:hyperlink>
      <w:r>
        <w:rPr>
          <w:lang w:val="pt-PT"/>
        </w:rPr>
        <w:t xml:space="preserve">)</w:t>
      </w:r>
      <w:r>
        <w:rPr>
          <w:lang w:val="pt-PT"/>
        </w:rPr>
      </w:r>
      <w:r>
        <w:rPr>
          <w:lang w:val="pt-PT"/>
        </w:rPr>
      </w:r>
    </w:p>
    <w:p>
      <w:pPr>
        <w:pStyle w:val="705"/>
        <w:pBdr/>
        <w:bidi w:val="false"/>
        <w:spacing/>
        <w:ind/>
        <w:jc w:val="left"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OpenSymbol">
    <w:panose1 w:val="050100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tru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tru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tru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pt-PT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5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GB" w:eastAsia="zh-CN" w:bidi="hi-IN"/>
    </w:rPr>
  </w:style>
  <w:style w:type="paragraph" w:styleId="706">
    <w:name w:val="Heading 1"/>
    <w:basedOn w:val="748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basedOn w:val="705"/>
    <w:next w:val="705"/>
    <w:link w:val="71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8">
    <w:name w:val="Heading 3"/>
    <w:basedOn w:val="705"/>
    <w:next w:val="705"/>
    <w:link w:val="71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9">
    <w:name w:val="Heading 4"/>
    <w:basedOn w:val="705"/>
    <w:next w:val="705"/>
    <w:link w:val="71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10">
    <w:name w:val="Heading 5"/>
    <w:basedOn w:val="705"/>
    <w:next w:val="705"/>
    <w:link w:val="72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11">
    <w:name w:val="Heading 6"/>
    <w:basedOn w:val="705"/>
    <w:next w:val="705"/>
    <w:link w:val="72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2">
    <w:name w:val="Heading 7"/>
    <w:basedOn w:val="705"/>
    <w:next w:val="705"/>
    <w:link w:val="7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3">
    <w:name w:val="Heading 8"/>
    <w:basedOn w:val="705"/>
    <w:next w:val="705"/>
    <w:link w:val="723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4">
    <w:name w:val="Heading 9"/>
    <w:basedOn w:val="705"/>
    <w:next w:val="705"/>
    <w:link w:val="724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6">
    <w:name w:val="Heading 1 Char"/>
    <w:basedOn w:val="715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7">
    <w:name w:val="Heading 2 Char"/>
    <w:basedOn w:val="715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8">
    <w:name w:val="Heading 3 Char"/>
    <w:basedOn w:val="715"/>
    <w:link w:val="70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9">
    <w:name w:val="Heading 4 Char"/>
    <w:basedOn w:val="715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20">
    <w:name w:val="Heading 5 Char"/>
    <w:basedOn w:val="715"/>
    <w:link w:val="71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1">
    <w:name w:val="Heading 6 Char"/>
    <w:basedOn w:val="715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2">
    <w:name w:val="Heading 7 Char"/>
    <w:basedOn w:val="715"/>
    <w:link w:val="712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3">
    <w:name w:val="Heading 8 Char"/>
    <w:basedOn w:val="715"/>
    <w:link w:val="713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4">
    <w:name w:val="Heading 9 Char"/>
    <w:basedOn w:val="715"/>
    <w:link w:val="714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5">
    <w:name w:val="Title Char"/>
    <w:basedOn w:val="715"/>
    <w:link w:val="753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6">
    <w:name w:val="Subtitle Char"/>
    <w:basedOn w:val="715"/>
    <w:link w:val="75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7">
    <w:name w:val="Quote Char"/>
    <w:basedOn w:val="715"/>
    <w:link w:val="755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Intense Emphasis"/>
    <w:basedOn w:val="7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9">
    <w:name w:val="Intense Quote Char"/>
    <w:basedOn w:val="715"/>
    <w:link w:val="757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30">
    <w:name w:val="Intense Reference"/>
    <w:basedOn w:val="7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1">
    <w:name w:val="Subtle Emphasis"/>
    <w:basedOn w:val="7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2">
    <w:name w:val="Subtle Reference"/>
    <w:basedOn w:val="7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3">
    <w:name w:val="Book Title"/>
    <w:basedOn w:val="7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4">
    <w:name w:val="Header Char"/>
    <w:basedOn w:val="715"/>
    <w:link w:val="760"/>
    <w:uiPriority w:val="99"/>
    <w:qFormat/>
    <w:pPr>
      <w:pBdr/>
      <w:spacing/>
      <w:ind/>
    </w:pPr>
  </w:style>
  <w:style w:type="character" w:styleId="735">
    <w:name w:val="Footer Char"/>
    <w:basedOn w:val="715"/>
    <w:link w:val="761"/>
    <w:uiPriority w:val="99"/>
    <w:qFormat/>
    <w:pPr>
      <w:pBdr/>
      <w:spacing/>
      <w:ind/>
    </w:pPr>
  </w:style>
  <w:style w:type="character" w:styleId="736">
    <w:name w:val="Footnote Text Char"/>
    <w:basedOn w:val="715"/>
    <w:link w:val="762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7">
    <w:name w:val="Footnote Characters"/>
    <w:basedOn w:val="715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5"/>
    <w:link w:val="763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basedOn w:val="715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reference"/>
    <w:pPr>
      <w:pBdr/>
      <w:spacing/>
      <w:ind/>
    </w:pPr>
    <w:rPr>
      <w:vertAlign w:val="superscript"/>
    </w:rPr>
  </w:style>
  <w:style w:type="character" w:styleId="742">
    <w:name w:val="FollowedHyperlink"/>
    <w:basedOn w:val="7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3">
    <w:name w:val="Placeholder Text"/>
    <w:basedOn w:val="715"/>
    <w:uiPriority w:val="99"/>
    <w:semiHidden/>
    <w:qFormat/>
    <w:pPr>
      <w:pBdr/>
      <w:spacing/>
      <w:ind/>
    </w:pPr>
    <w:rPr>
      <w:color w:val="666666"/>
    </w:rPr>
  </w:style>
  <w:style w:type="character" w:styleId="744">
    <w:name w:val="Strong"/>
    <w:qFormat/>
    <w:pPr>
      <w:pBdr/>
      <w:spacing/>
      <w:ind/>
    </w:pPr>
    <w:rPr>
      <w:b/>
      <w:bCs/>
    </w:rPr>
  </w:style>
  <w:style w:type="character" w:styleId="745">
    <w:name w:val="Emphasis"/>
    <w:qFormat/>
    <w:pPr>
      <w:pBdr/>
      <w:spacing/>
      <w:ind/>
    </w:pPr>
    <w:rPr>
      <w:i/>
      <w:iCs/>
    </w:rPr>
  </w:style>
  <w:style w:type="character" w:styleId="746">
    <w:name w:val="Hyperlink"/>
    <w:pPr>
      <w:pBdr/>
      <w:spacing/>
      <w:ind/>
    </w:pPr>
    <w:rPr>
      <w:color w:val="000080"/>
      <w:u w:val="single"/>
    </w:rPr>
  </w:style>
  <w:style w:type="character" w:styleId="747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paragraph" w:styleId="748">
    <w:name w:val="Heading"/>
    <w:basedOn w:val="705"/>
    <w:next w:val="74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9">
    <w:name w:val="Body Text"/>
    <w:basedOn w:val="705"/>
    <w:pPr>
      <w:pBdr/>
      <w:spacing w:after="140" w:before="0" w:line="276" w:lineRule="auto"/>
      <w:ind/>
    </w:pPr>
  </w:style>
  <w:style w:type="paragraph" w:styleId="750">
    <w:name w:val="List"/>
    <w:basedOn w:val="749"/>
    <w:pPr>
      <w:pBdr/>
      <w:spacing/>
      <w:ind/>
    </w:pPr>
    <w:rPr>
      <w:rFonts w:cs="Noto Sans Devanagari"/>
    </w:rPr>
  </w:style>
  <w:style w:type="paragraph" w:styleId="751">
    <w:name w:val="Caption"/>
    <w:basedOn w:val="70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52">
    <w:name w:val="Index"/>
    <w:basedOn w:val="705"/>
    <w:qFormat/>
    <w:pPr>
      <w:suppressLineNumbers w:val="true"/>
      <w:pBdr/>
      <w:spacing/>
      <w:ind/>
    </w:pPr>
    <w:rPr>
      <w:rFonts w:cs="Noto Sans Devanagari"/>
    </w:rPr>
  </w:style>
  <w:style w:type="paragraph" w:styleId="753">
    <w:name w:val="Title"/>
    <w:basedOn w:val="705"/>
    <w:next w:val="705"/>
    <w:link w:val="725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4">
    <w:name w:val="Subtitle"/>
    <w:basedOn w:val="705"/>
    <w:next w:val="705"/>
    <w:link w:val="726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5">
    <w:name w:val="Quote"/>
    <w:basedOn w:val="705"/>
    <w:next w:val="705"/>
    <w:link w:val="727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56">
    <w:name w:val="List Paragraph"/>
    <w:basedOn w:val="705"/>
    <w:uiPriority w:val="34"/>
    <w:qFormat/>
    <w:pPr>
      <w:pBdr/>
      <w:spacing w:after="0" w:before="0"/>
      <w:ind w:left="720"/>
      <w:contextualSpacing w:val="true"/>
    </w:pPr>
  </w:style>
  <w:style w:type="paragraph" w:styleId="757">
    <w:name w:val="Intense Quote"/>
    <w:basedOn w:val="705"/>
    <w:next w:val="705"/>
    <w:link w:val="72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8">
    <w:name w:val="No Spacing"/>
    <w:basedOn w:val="705"/>
    <w:uiPriority w:val="1"/>
    <w:qFormat/>
    <w:pPr>
      <w:pBdr/>
      <w:spacing w:after="0" w:before="0" w:line="240" w:lineRule="auto"/>
      <w:ind/>
    </w:pPr>
  </w:style>
  <w:style w:type="paragraph" w:styleId="759">
    <w:name w:val="Header and Footer"/>
    <w:basedOn w:val="705"/>
    <w:qFormat/>
    <w:pPr>
      <w:pBdr/>
      <w:spacing/>
      <w:ind/>
    </w:pPr>
  </w:style>
  <w:style w:type="paragraph" w:styleId="760">
    <w:name w:val="Header"/>
    <w:basedOn w:val="705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1">
    <w:name w:val="Footer"/>
    <w:basedOn w:val="705"/>
    <w:link w:val="735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2">
    <w:name w:val="footnote text"/>
    <w:basedOn w:val="705"/>
    <w:link w:val="736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3">
    <w:name w:val="endnote text"/>
    <w:basedOn w:val="705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4">
    <w:name w:val="toc 1"/>
    <w:basedOn w:val="705"/>
    <w:next w:val="705"/>
    <w:uiPriority w:val="39"/>
    <w:unhideWhenUsed/>
    <w:pPr>
      <w:pBdr/>
      <w:spacing w:after="100" w:before="0"/>
      <w:ind/>
    </w:pPr>
  </w:style>
  <w:style w:type="paragraph" w:styleId="765">
    <w:name w:val="toc 2"/>
    <w:basedOn w:val="705"/>
    <w:next w:val="705"/>
    <w:uiPriority w:val="39"/>
    <w:unhideWhenUsed/>
    <w:pPr>
      <w:pBdr/>
      <w:spacing w:after="100" w:before="0"/>
      <w:ind w:left="220"/>
    </w:pPr>
  </w:style>
  <w:style w:type="paragraph" w:styleId="766">
    <w:name w:val="toc 3"/>
    <w:basedOn w:val="705"/>
    <w:next w:val="705"/>
    <w:uiPriority w:val="39"/>
    <w:unhideWhenUsed/>
    <w:pPr>
      <w:pBdr/>
      <w:spacing w:after="100" w:before="0"/>
      <w:ind w:left="440"/>
    </w:pPr>
  </w:style>
  <w:style w:type="paragraph" w:styleId="767">
    <w:name w:val="toc 4"/>
    <w:basedOn w:val="705"/>
    <w:next w:val="705"/>
    <w:uiPriority w:val="39"/>
    <w:unhideWhenUsed/>
    <w:pPr>
      <w:pBdr/>
      <w:spacing w:after="100" w:before="0"/>
      <w:ind w:left="660"/>
    </w:pPr>
  </w:style>
  <w:style w:type="paragraph" w:styleId="768">
    <w:name w:val="toc 5"/>
    <w:basedOn w:val="705"/>
    <w:next w:val="705"/>
    <w:uiPriority w:val="39"/>
    <w:unhideWhenUsed/>
    <w:pPr>
      <w:pBdr/>
      <w:spacing w:after="100" w:before="0"/>
      <w:ind w:left="880"/>
    </w:pPr>
  </w:style>
  <w:style w:type="paragraph" w:styleId="769">
    <w:name w:val="toc 6"/>
    <w:basedOn w:val="705"/>
    <w:next w:val="705"/>
    <w:uiPriority w:val="39"/>
    <w:unhideWhenUsed/>
    <w:pPr>
      <w:pBdr/>
      <w:spacing w:after="100" w:before="0"/>
      <w:ind w:left="1100"/>
    </w:pPr>
  </w:style>
  <w:style w:type="paragraph" w:styleId="770">
    <w:name w:val="toc 7"/>
    <w:basedOn w:val="705"/>
    <w:next w:val="705"/>
    <w:uiPriority w:val="39"/>
    <w:unhideWhenUsed/>
    <w:pPr>
      <w:pBdr/>
      <w:spacing w:after="100" w:before="0"/>
      <w:ind w:left="1320"/>
    </w:pPr>
  </w:style>
  <w:style w:type="paragraph" w:styleId="771">
    <w:name w:val="toc 8"/>
    <w:basedOn w:val="705"/>
    <w:next w:val="705"/>
    <w:uiPriority w:val="39"/>
    <w:unhideWhenUsed/>
    <w:pPr>
      <w:pBdr/>
      <w:spacing w:after="100" w:before="0"/>
      <w:ind w:left="1540"/>
    </w:pPr>
  </w:style>
  <w:style w:type="paragraph" w:styleId="772">
    <w:name w:val="toc 9"/>
    <w:basedOn w:val="705"/>
    <w:next w:val="705"/>
    <w:uiPriority w:val="39"/>
    <w:unhideWhenUsed/>
    <w:pPr>
      <w:pBdr/>
      <w:spacing w:after="100" w:before="0"/>
      <w:ind w:left="1760"/>
    </w:pPr>
  </w:style>
  <w:style w:type="paragraph" w:styleId="773">
    <w:name w:val="index heading"/>
    <w:basedOn w:val="748"/>
    <w:pPr>
      <w:pBdr/>
      <w:spacing/>
      <w:ind/>
    </w:pPr>
  </w:style>
  <w:style w:type="paragraph" w:styleId="774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pt-PT" w:eastAsia="zh-CN" w:bidi="hi-IN"/>
    </w:rPr>
  </w:style>
  <w:style w:type="paragraph" w:styleId="775">
    <w:name w:val="table of figures"/>
    <w:basedOn w:val="705"/>
    <w:next w:val="705"/>
    <w:uiPriority w:val="99"/>
    <w:unhideWhenUsed/>
    <w:pPr>
      <w:pBdr/>
      <w:spacing w:after="0" w:afterAutospacing="0" w:before="0"/>
      <w:ind/>
    </w:pPr>
  </w:style>
  <w:style w:type="paragraph" w:styleId="776">
    <w:name w:val="Block Quotation (user)"/>
    <w:basedOn w:val="705"/>
    <w:qFormat/>
    <w:pPr>
      <w:pBdr/>
      <w:spacing w:after="283" w:before="0"/>
      <w:ind w:right="567" w:firstLine="0" w:left="567"/>
    </w:pPr>
  </w:style>
  <w:style w:type="numbering" w:styleId="777" w:default="1">
    <w:name w:val="No List"/>
    <w:uiPriority w:val="99"/>
    <w:semiHidden/>
    <w:unhideWhenUsed/>
    <w:qFormat/>
    <w:pPr>
      <w:pBdr/>
      <w:spacing/>
      <w:ind/>
    </w:pPr>
  </w:style>
  <w:style w:type="table" w:styleId="77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7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n.wikipedia.org/wiki/Assembly_language" TargetMode="External"/><Relationship Id="rId10" Type="http://schemas.openxmlformats.org/officeDocument/2006/relationships/hyperlink" Target="https://www.researchgate.net/publication/266457125_A_Detailed_Analysis_of_Contemporary_ARM_and_x86_Architectures" TargetMode="External"/><Relationship Id="rId11" Type="http://schemas.openxmlformats.org/officeDocument/2006/relationships/hyperlink" Target="https://dn720603.ca.archive.org/0/items/Professional_Assembly_Language_2005/Professional_Assembly_Language_2005.pdf" TargetMode="External"/><Relationship Id="rId12" Type="http://schemas.openxmlformats.org/officeDocument/2006/relationships/hyperlink" Target="https://www.asmirvine.com/files/FrontMatter_7e.pdf" TargetMode="External"/><Relationship Id="rId13" Type="http://schemas.openxmlformats.org/officeDocument/2006/relationships/hyperlink" Target="https://jsaer.com/download/vol-3-iss-1-2016/JSAER2016-03-01-17-20.pdf" TargetMode="External"/><Relationship Id="rId14" Type="http://schemas.openxmlformats.org/officeDocument/2006/relationships/hyperlink" Target="https://ic.unicamp.br/~celio/mc404-2012/ARMdocs/ARM_AssyLang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en-GB</dc:language>
  <cp:revision>10</cp:revision>
  <dcterms:created xsi:type="dcterms:W3CDTF">2026-01-05T15:14:24Z</dcterms:created>
  <dcterms:modified xsi:type="dcterms:W3CDTF">2026-01-21T18:57:15Z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id="kslzXG6j"/&gt;&lt;style id="http://www.zotero.org/styles/chicago-shortened-notes-bibliography" locale="en-GB" hasBibliography="1" bibliographyStyleHasBeenSet="0"/&gt;&lt;prefs&gt;&lt;pref name="fieldType" value="R</vt:lpwstr>
  </property>
  <property fmtid="{D5CDD505-2E9C-101B-9397-08002B2CF9AE}" pid="3" name="ZOTERO_PREF_2">
    <vt:lpwstr>eferenceMark"/&gt;&lt;pref name="automaticJournalAbbreviations" value="true"/&gt;&lt;pref name="noteType" value="1"/&gt;&lt;/prefs&gt;&lt;/data&gt;</vt:lpwstr>
  </property>
</Properties>
</file>