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>Cotação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04787D" w:rsidRDefault="0004787D" w:rsidP="00047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Questão 1: </w:t>
      </w:r>
      <w:proofErr w:type="gramStart"/>
      <w:r w:rsidR="006C4735">
        <w:rPr>
          <w:rFonts w:ascii="Arial" w:hAnsi="Arial" w:cs="Arial"/>
          <w:i/>
          <w:iCs/>
          <w:color w:val="000000"/>
          <w:sz w:val="16"/>
          <w:szCs w:val="16"/>
        </w:rPr>
        <w:t>2</w:t>
      </w:r>
      <w:r w:rsidR="0023678C">
        <w:rPr>
          <w:rFonts w:ascii="Arial" w:hAnsi="Arial" w:cs="Arial"/>
          <w:i/>
          <w:iCs/>
          <w:color w:val="000000"/>
          <w:sz w:val="16"/>
          <w:szCs w:val="16"/>
        </w:rPr>
        <w:t xml:space="preserve"> 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 valores</w:t>
      </w:r>
      <w:proofErr w:type="gramEnd"/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; </w:t>
      </w:r>
      <w:r w:rsidR="00DE2D00">
        <w:rPr>
          <w:rFonts w:ascii="Arial" w:hAnsi="Arial" w:cs="Arial"/>
          <w:i/>
          <w:iCs/>
          <w:color w:val="000000"/>
          <w:sz w:val="16"/>
          <w:szCs w:val="16"/>
        </w:rPr>
        <w:t xml:space="preserve">Questão </w:t>
      </w:r>
      <w:r>
        <w:rPr>
          <w:rFonts w:ascii="Arial" w:hAnsi="Arial" w:cs="Arial"/>
          <w:i/>
          <w:iCs/>
          <w:color w:val="000000"/>
          <w:sz w:val="16"/>
          <w:szCs w:val="16"/>
        </w:rPr>
        <w:t>2:</w:t>
      </w:r>
      <w:r w:rsidR="0023678C">
        <w:rPr>
          <w:rFonts w:ascii="Arial" w:hAnsi="Arial" w:cs="Arial"/>
          <w:i/>
          <w:iCs/>
          <w:color w:val="000000"/>
          <w:sz w:val="16"/>
          <w:szCs w:val="16"/>
        </w:rPr>
        <w:t xml:space="preserve"> </w:t>
      </w:r>
      <w:r w:rsidR="006C4735">
        <w:rPr>
          <w:rFonts w:ascii="Arial" w:hAnsi="Arial" w:cs="Arial"/>
          <w:i/>
          <w:iCs/>
          <w:color w:val="000000"/>
          <w:sz w:val="16"/>
          <w:szCs w:val="16"/>
        </w:rPr>
        <w:t>10</w:t>
      </w:r>
      <w:r w:rsidR="00F33935">
        <w:rPr>
          <w:rFonts w:ascii="Arial" w:hAnsi="Arial" w:cs="Arial"/>
          <w:i/>
          <w:iCs/>
          <w:color w:val="000000"/>
          <w:sz w:val="16"/>
          <w:szCs w:val="16"/>
        </w:rPr>
        <w:t xml:space="preserve"> valores</w:t>
      </w:r>
      <w:r w:rsidR="0023678C">
        <w:rPr>
          <w:rFonts w:ascii="Arial" w:hAnsi="Arial" w:cs="Arial"/>
          <w:i/>
          <w:iCs/>
          <w:color w:val="000000"/>
          <w:sz w:val="16"/>
          <w:szCs w:val="16"/>
        </w:rPr>
        <w:t xml:space="preserve">; Questão 3: </w:t>
      </w:r>
      <w:r w:rsidR="0035210D">
        <w:rPr>
          <w:rFonts w:ascii="Arial" w:hAnsi="Arial" w:cs="Arial"/>
          <w:i/>
          <w:iCs/>
          <w:color w:val="000000"/>
          <w:sz w:val="16"/>
          <w:szCs w:val="16"/>
        </w:rPr>
        <w:t>8</w:t>
      </w:r>
      <w:r w:rsidR="0023678C">
        <w:rPr>
          <w:rFonts w:ascii="Arial" w:hAnsi="Arial" w:cs="Arial"/>
          <w:i/>
          <w:iCs/>
          <w:color w:val="000000"/>
          <w:sz w:val="16"/>
          <w:szCs w:val="16"/>
        </w:rPr>
        <w:t xml:space="preserve"> valores</w:t>
      </w: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AD13F1" w:rsidRDefault="00AD13F1">
      <w:pP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:rsidR="00AD13F1" w:rsidRP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Observações: </w:t>
      </w:r>
      <w:r w:rsidR="00DE2D00">
        <w:rPr>
          <w:rFonts w:ascii="Arial" w:hAnsi="Arial" w:cs="Arial"/>
          <w:iCs/>
          <w:color w:val="000000"/>
          <w:sz w:val="16"/>
          <w:szCs w:val="16"/>
        </w:rPr>
        <w:t>A aprovação à unidade curricular implica aproveitamento n</w:t>
      </w:r>
      <w:r w:rsidR="00B42B05">
        <w:rPr>
          <w:rFonts w:ascii="Arial" w:hAnsi="Arial" w:cs="Arial"/>
          <w:iCs/>
          <w:color w:val="000000"/>
          <w:sz w:val="16"/>
          <w:szCs w:val="16"/>
        </w:rPr>
        <w:t xml:space="preserve">os vários instrumentos de avaliação que a </w:t>
      </w:r>
      <w:r w:rsidR="008F2F18">
        <w:rPr>
          <w:rFonts w:ascii="Arial" w:hAnsi="Arial" w:cs="Arial"/>
          <w:iCs/>
          <w:color w:val="000000"/>
          <w:sz w:val="16"/>
          <w:szCs w:val="16"/>
        </w:rPr>
        <w:t>constituem</w:t>
      </w:r>
      <w:r w:rsidR="00B42B05">
        <w:rPr>
          <w:rFonts w:ascii="Arial" w:hAnsi="Arial" w:cs="Arial"/>
          <w:iCs/>
          <w:color w:val="000000"/>
          <w:sz w:val="16"/>
          <w:szCs w:val="16"/>
        </w:rPr>
        <w:t>.</w:t>
      </w:r>
    </w:p>
    <w:p w:rsid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rPr>
          <w:rFonts w:ascii="Arial" w:hAnsi="Arial" w:cs="Arial"/>
          <w:i/>
          <w:iCs/>
          <w:color w:val="000000"/>
          <w:sz w:val="12"/>
          <w:szCs w:val="12"/>
        </w:rPr>
      </w:pPr>
    </w:p>
    <w:p w:rsidR="008B13F9" w:rsidRDefault="008B13F9" w:rsidP="004E12DC">
      <w:pPr>
        <w:autoSpaceDE w:val="0"/>
        <w:autoSpaceDN w:val="0"/>
        <w:adjustRightInd w:val="0"/>
        <w:ind w:left="360"/>
        <w:rPr>
          <w:iCs/>
          <w:color w:val="000000"/>
        </w:rPr>
      </w:pPr>
    </w:p>
    <w:p w:rsidR="008F2F18" w:rsidRDefault="008F2F18" w:rsidP="00B73C55">
      <w:pPr>
        <w:autoSpaceDE w:val="0"/>
        <w:autoSpaceDN w:val="0"/>
        <w:adjustRightInd w:val="0"/>
        <w:rPr>
          <w:iCs/>
          <w:color w:val="000000"/>
        </w:rPr>
      </w:pPr>
      <w:bookmarkStart w:id="0" w:name="_GoBack"/>
      <w:bookmarkEnd w:id="0"/>
    </w:p>
    <w:p w:rsidR="00A35397" w:rsidRDefault="00A35397" w:rsidP="00A35397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</w:p>
    <w:p w:rsidR="007B336C" w:rsidRDefault="00AE1EBC" w:rsidP="00621C30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 xml:space="preserve">Pretende-se desenvolver em VHDL um sistema de </w:t>
      </w:r>
      <w:r w:rsidR="00E07C0E">
        <w:rPr>
          <w:iCs/>
          <w:color w:val="000000"/>
        </w:rPr>
        <w:t xml:space="preserve">controlo de um parque automóvel residencial. O parque apresenta uma lotação máxima de 5 automóveis, dispondo apenas duma entrada (que tem o sensor E) e uma saída (sensor S). </w:t>
      </w:r>
      <w:r w:rsidR="00D830EE">
        <w:rPr>
          <w:iCs/>
          <w:color w:val="000000"/>
        </w:rPr>
        <w:t>Na zona residencial existem 8 moradores, como tal é suposto cada um ter um PIN secreto de 4 dígitos para aceder à garagem. O princípio de funcionamento do sistema é o seguinte, quando um dos moradores chega à entrada introduz o PIN, se este for válido e se a lotação não estiver completa a cancela de entrada é aberta. Para sair do parque, por motivos de segurança, o utilizador teta igualmente de utilizar o PIN para abrir a cancela de saída. O sistema a projectar em VHDL deve permitir a gestão do parque de forma eficiente.</w:t>
      </w:r>
    </w:p>
    <w:p w:rsidR="00F9160D" w:rsidRDefault="00F9160D" w:rsidP="00F9160D">
      <w:pPr>
        <w:autoSpaceDE w:val="0"/>
        <w:autoSpaceDN w:val="0"/>
        <w:adjustRightInd w:val="0"/>
        <w:ind w:left="360"/>
        <w:jc w:val="both"/>
        <w:rPr>
          <w:iCs/>
          <w:color w:val="000000"/>
        </w:rPr>
      </w:pPr>
    </w:p>
    <w:p w:rsidR="007B336C" w:rsidRDefault="007B336C" w:rsidP="007B336C">
      <w:pPr>
        <w:numPr>
          <w:ilvl w:val="2"/>
          <w:numId w:val="1"/>
        </w:numPr>
        <w:tabs>
          <w:tab w:val="clear" w:pos="2700"/>
          <w:tab w:val="num" w:pos="1440"/>
        </w:tabs>
        <w:autoSpaceDE w:val="0"/>
        <w:autoSpaceDN w:val="0"/>
        <w:adjustRightInd w:val="0"/>
        <w:ind w:left="1440" w:hanging="360"/>
        <w:rPr>
          <w:iCs/>
          <w:color w:val="000000"/>
        </w:rPr>
      </w:pPr>
      <w:r>
        <w:rPr>
          <w:iCs/>
          <w:color w:val="000000"/>
        </w:rPr>
        <w:t>Apresente um esquema dos sinais e blocos requeridos para a codificação do sistema em VHDL.</w:t>
      </w:r>
    </w:p>
    <w:p w:rsidR="007B336C" w:rsidRDefault="007B336C" w:rsidP="007B336C">
      <w:pPr>
        <w:numPr>
          <w:ilvl w:val="2"/>
          <w:numId w:val="1"/>
        </w:numPr>
        <w:tabs>
          <w:tab w:val="clear" w:pos="2700"/>
          <w:tab w:val="num" w:pos="1440"/>
        </w:tabs>
        <w:autoSpaceDE w:val="0"/>
        <w:autoSpaceDN w:val="0"/>
        <w:adjustRightInd w:val="0"/>
        <w:ind w:left="1440" w:hanging="360"/>
        <w:rPr>
          <w:iCs/>
          <w:color w:val="000000"/>
        </w:rPr>
      </w:pPr>
      <w:r>
        <w:rPr>
          <w:iCs/>
          <w:color w:val="000000"/>
        </w:rPr>
        <w:t>Descreva o sistema em código VHDL.</w:t>
      </w:r>
    </w:p>
    <w:p w:rsidR="00343AAB" w:rsidRDefault="00D830EE" w:rsidP="007B336C">
      <w:pPr>
        <w:numPr>
          <w:ilvl w:val="2"/>
          <w:numId w:val="1"/>
        </w:numPr>
        <w:tabs>
          <w:tab w:val="clear" w:pos="2700"/>
          <w:tab w:val="num" w:pos="1440"/>
        </w:tabs>
        <w:autoSpaceDE w:val="0"/>
        <w:autoSpaceDN w:val="0"/>
        <w:adjustRightInd w:val="0"/>
        <w:ind w:left="1440" w:hanging="360"/>
        <w:rPr>
          <w:iCs/>
          <w:color w:val="000000"/>
        </w:rPr>
      </w:pPr>
      <w:r>
        <w:rPr>
          <w:iCs/>
          <w:color w:val="000000"/>
        </w:rPr>
        <w:t>Supondo que se pretende introduzir uma saída de emergência, a cancela de saída deve ser automaticamente aberta se o sinal EMERG for activado, neste caso assume-se que o contador do parque é manualmente actualizado posteriormente por um funcionário. Apresente as alterações requeridas.</w:t>
      </w:r>
    </w:p>
    <w:p w:rsidR="007B336C" w:rsidRDefault="007B336C" w:rsidP="007B336C">
      <w:pPr>
        <w:autoSpaceDE w:val="0"/>
        <w:autoSpaceDN w:val="0"/>
        <w:adjustRightInd w:val="0"/>
        <w:ind w:left="360"/>
        <w:jc w:val="both"/>
        <w:rPr>
          <w:iCs/>
          <w:color w:val="000000"/>
        </w:rPr>
      </w:pPr>
    </w:p>
    <w:p w:rsidR="007B336C" w:rsidRDefault="007B336C" w:rsidP="007B336C">
      <w:pPr>
        <w:autoSpaceDE w:val="0"/>
        <w:autoSpaceDN w:val="0"/>
        <w:adjustRightInd w:val="0"/>
        <w:ind w:left="360"/>
        <w:jc w:val="both"/>
        <w:rPr>
          <w:iCs/>
          <w:color w:val="000000"/>
        </w:rPr>
      </w:pPr>
    </w:p>
    <w:p w:rsidR="00F9160D" w:rsidRDefault="00F9160D" w:rsidP="00F9160D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F9160D">
        <w:rPr>
          <w:iCs/>
          <w:color w:val="000000"/>
        </w:rPr>
        <w:t>Projecte em VHDL um</w:t>
      </w:r>
      <w:r>
        <w:rPr>
          <w:iCs/>
          <w:color w:val="000000"/>
        </w:rPr>
        <w:t xml:space="preserve"> </w:t>
      </w:r>
      <w:r w:rsidR="00AE1EBC">
        <w:rPr>
          <w:iCs/>
          <w:color w:val="000000"/>
        </w:rPr>
        <w:t xml:space="preserve">dado electrónico. O sistema implementado deve arrancar com a contagem perpétua enquanto estiver premida a tecla de </w:t>
      </w:r>
      <w:r w:rsidR="00AE1EBC">
        <w:rPr>
          <w:i/>
          <w:iCs/>
          <w:color w:val="000000"/>
        </w:rPr>
        <w:t>RUN</w:t>
      </w:r>
      <w:r w:rsidR="00AE1EBC">
        <w:rPr>
          <w:iCs/>
          <w:color w:val="000000"/>
        </w:rPr>
        <w:t>. Assim que o utilizador libertar a referida tecla deve aparecer a saída obtida, apresentando o resultado como num caso dum dado real (ou seja a representação numérica na forma de pontos).</w:t>
      </w:r>
      <w:r w:rsidR="00E0098B">
        <w:rPr>
          <w:iCs/>
          <w:color w:val="000000"/>
        </w:rPr>
        <w:t xml:space="preserve"> Formule no </w:t>
      </w:r>
      <w:proofErr w:type="gramStart"/>
      <w:r w:rsidR="00E0098B">
        <w:rPr>
          <w:iCs/>
          <w:color w:val="000000"/>
        </w:rPr>
        <w:t>inicio</w:t>
      </w:r>
      <w:proofErr w:type="gramEnd"/>
      <w:r w:rsidR="00E0098B">
        <w:rPr>
          <w:iCs/>
          <w:color w:val="000000"/>
        </w:rPr>
        <w:t xml:space="preserve"> o problema em termos de uma diagrama de blocos com as entradas e saídas associadas.</w:t>
      </w:r>
    </w:p>
    <w:p w:rsidR="00F9160D" w:rsidRPr="00F9160D" w:rsidRDefault="00F9160D" w:rsidP="00F9160D">
      <w:pPr>
        <w:autoSpaceDE w:val="0"/>
        <w:autoSpaceDN w:val="0"/>
        <w:adjustRightInd w:val="0"/>
        <w:ind w:left="360"/>
        <w:jc w:val="both"/>
        <w:rPr>
          <w:iCs/>
          <w:color w:val="000000"/>
        </w:rPr>
      </w:pPr>
    </w:p>
    <w:p w:rsidR="00AD13F1" w:rsidRDefault="00AD13F1">
      <w:pPr>
        <w:spacing w:line="280" w:lineRule="exact"/>
        <w:jc w:val="both"/>
        <w:rPr>
          <w:rFonts w:ascii="Monaco" w:hAnsi="Monaco"/>
          <w:sz w:val="20"/>
          <w:szCs w:val="20"/>
        </w:rPr>
      </w:pPr>
    </w:p>
    <w:sectPr w:rsidR="00AD13F1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4620" w:rsidRDefault="00A24620">
      <w:r>
        <w:separator/>
      </w:r>
    </w:p>
  </w:endnote>
  <w:endnote w:type="continuationSeparator" w:id="0">
    <w:p w:rsidR="00A24620" w:rsidRDefault="00A246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aco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>
      <w:rPr>
        <w:rStyle w:val="Nmerodepgina"/>
        <w:rFonts w:ascii="Arial" w:hAnsi="Arial" w:cs="Arial"/>
        <w:sz w:val="16"/>
        <w:szCs w:val="16"/>
      </w:rPr>
      <w:fldChar w:fldCharType="separate"/>
    </w:r>
    <w:r w:rsidR="00B73C55">
      <w:rPr>
        <w:rStyle w:val="Nmerodepgina"/>
        <w:rFonts w:ascii="Arial" w:hAnsi="Arial" w:cs="Arial"/>
        <w:noProof/>
        <w:sz w:val="16"/>
        <w:szCs w:val="16"/>
      </w:rPr>
      <w:t>2</w:t>
    </w:r>
    <w:r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>
      <w:rPr>
        <w:rStyle w:val="Nmerodepgina"/>
        <w:rFonts w:ascii="Arial" w:hAnsi="Arial" w:cs="Arial"/>
        <w:sz w:val="16"/>
        <w:szCs w:val="16"/>
      </w:rPr>
      <w:fldChar w:fldCharType="separate"/>
    </w:r>
    <w:r w:rsidR="00961901">
      <w:rPr>
        <w:rStyle w:val="Nmerodepgina"/>
        <w:rFonts w:ascii="Arial" w:hAnsi="Arial" w:cs="Arial"/>
        <w:noProof/>
        <w:sz w:val="16"/>
        <w:szCs w:val="16"/>
      </w:rPr>
      <w:t>1</w:t>
    </w:r>
    <w:r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>
      <w:rPr>
        <w:rStyle w:val="Nmerodepgina"/>
        <w:rFonts w:ascii="Arial" w:hAnsi="Arial" w:cs="Arial"/>
        <w:sz w:val="16"/>
        <w:szCs w:val="16"/>
      </w:rPr>
      <w:fldChar w:fldCharType="separate"/>
    </w:r>
    <w:r w:rsidR="00961901">
      <w:rPr>
        <w:rStyle w:val="Nmerodepgina"/>
        <w:rFonts w:ascii="Arial" w:hAnsi="Arial" w:cs="Arial"/>
        <w:noProof/>
        <w:sz w:val="16"/>
        <w:szCs w:val="16"/>
      </w:rPr>
      <w:t>1</w:t>
    </w:r>
    <w:r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>
      <w:rPr>
        <w:rStyle w:val="Nmerodepgina"/>
        <w:rFonts w:ascii="Arial" w:hAnsi="Arial" w:cs="Arial"/>
        <w:sz w:val="16"/>
        <w:szCs w:val="16"/>
      </w:rPr>
      <w:fldChar w:fldCharType="separate"/>
    </w:r>
    <w:r w:rsidR="00961901">
      <w:rPr>
        <w:rStyle w:val="Nmerodepgina"/>
        <w:rFonts w:ascii="Arial" w:hAnsi="Arial" w:cs="Arial"/>
        <w:noProof/>
        <w:sz w:val="16"/>
        <w:szCs w:val="16"/>
      </w:rPr>
      <w:t>1</w:t>
    </w:r>
    <w:r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4620" w:rsidRDefault="00A24620">
      <w:r>
        <w:separator/>
      </w:r>
    </w:p>
  </w:footnote>
  <w:footnote w:type="continuationSeparator" w:id="0">
    <w:p w:rsidR="00A24620" w:rsidRDefault="00A246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9160D" w:rsidRDefault="00F9160D">
    <w:pPr>
      <w:pStyle w:val="Cabealho"/>
      <w:pBdr>
        <w:bottom w:val="single" w:sz="4" w:space="1" w:color="auto"/>
      </w:pBdr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Instituto Superior Politécnico Gaya</w:t>
    </w:r>
  </w:p>
  <w:p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  <w:p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639" w:type="dxa"/>
      <w:tblInd w:w="-432" w:type="dxa"/>
      <w:tblLook w:val="01E0" w:firstRow="1" w:lastRow="1" w:firstColumn="1" w:lastColumn="1" w:noHBand="0" w:noVBand="0"/>
    </w:tblPr>
    <w:tblGrid>
      <w:gridCol w:w="3420"/>
      <w:gridCol w:w="3420"/>
      <w:gridCol w:w="1800"/>
      <w:gridCol w:w="1999"/>
    </w:tblGrid>
    <w:tr w:rsidR="00F9160D">
      <w:trPr>
        <w:cantSplit/>
        <w:trHeight w:val="2151"/>
      </w:trPr>
      <w:tc>
        <w:tcPr>
          <w:tcW w:w="3420" w:type="dxa"/>
          <w:vMerge w:val="restart"/>
        </w:tcPr>
        <w:p w:rsidR="00F9160D" w:rsidRDefault="00D42287">
          <w:pPr>
            <w:pStyle w:val="Cabealho"/>
            <w:ind w:left="72"/>
          </w:pPr>
          <w:r>
            <w:rPr>
              <w:noProof/>
              <w:lang w:val="en-US" w:eastAsia="en-US"/>
            </w:rPr>
            <w:drawing>
              <wp:inline distT="0" distB="0" distL="0" distR="0" wp14:anchorId="10DCDCBD" wp14:editId="040D04B9">
                <wp:extent cx="1943100" cy="1276350"/>
                <wp:effectExtent l="0" t="0" r="0" b="0"/>
                <wp:docPr id="1" name="Imagem 1" descr="Logo ISPGaya 4c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 ISPGaya 4c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43100" cy="1276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F9160D" w:rsidRDefault="00F9160D">
          <w:pPr>
            <w:pStyle w:val="Cabealho"/>
            <w:ind w:left="72"/>
            <w:jc w:val="right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Escola Superior</w:t>
          </w:r>
          <w:r>
            <w:rPr>
              <w:rFonts w:ascii="Arial" w:hAnsi="Arial" w:cs="Arial"/>
              <w:sz w:val="12"/>
              <w:szCs w:val="12"/>
            </w:rPr>
            <w:t xml:space="preserve"> de Ciência e Tecnologia</w:t>
          </w:r>
        </w:p>
      </w:tc>
      <w:tc>
        <w:tcPr>
          <w:tcW w:w="7219" w:type="dxa"/>
          <w:gridSpan w:val="3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:rsidR="00F9160D" w:rsidRDefault="00F9160D" w:rsidP="006F4195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Electrónica e Automação</w:t>
          </w:r>
        </w:p>
        <w:p w:rsidR="00F9160D" w:rsidRDefault="00F9160D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Informática</w:t>
          </w:r>
        </w:p>
        <w:p w:rsidR="00F9160D" w:rsidRDefault="00F9160D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das Telecomunicações e Computadores</w:t>
          </w:r>
        </w:p>
        <w:p w:rsidR="00F9160D" w:rsidRDefault="00B21325">
          <w:pPr>
            <w:pStyle w:val="Cabealho"/>
            <w:spacing w:before="120"/>
            <w:jc w:val="center"/>
            <w:rPr>
              <w:rFonts w:ascii="Arial" w:hAnsi="Arial" w:cs="Arial"/>
              <w:b/>
              <w:sz w:val="20"/>
              <w:szCs w:val="20"/>
            </w:rPr>
          </w:pPr>
          <w:proofErr w:type="spellStart"/>
          <w:r>
            <w:rPr>
              <w:rFonts w:ascii="Arial" w:hAnsi="Arial" w:cs="Arial"/>
              <w:b/>
              <w:sz w:val="20"/>
              <w:szCs w:val="20"/>
            </w:rPr>
            <w:t>Projecto</w:t>
          </w:r>
          <w:proofErr w:type="spellEnd"/>
          <w:r>
            <w:rPr>
              <w:rFonts w:ascii="Arial" w:hAnsi="Arial" w:cs="Arial"/>
              <w:b/>
              <w:sz w:val="20"/>
              <w:szCs w:val="20"/>
            </w:rPr>
            <w:t xml:space="preserve"> de Sistemas Digitais</w:t>
          </w:r>
        </w:p>
        <w:p w:rsidR="00F9160D" w:rsidRDefault="00F9160D">
          <w:pPr>
            <w:pStyle w:val="Cabealho"/>
            <w:spacing w:before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1º Sem, Época Especial ■ </w:t>
          </w:r>
          <w:r w:rsidR="00B73C55">
            <w:rPr>
              <w:rFonts w:ascii="Arial" w:hAnsi="Arial" w:cs="Arial"/>
              <w:sz w:val="20"/>
              <w:szCs w:val="20"/>
            </w:rPr>
            <w:t>08</w:t>
          </w:r>
          <w:r>
            <w:rPr>
              <w:rFonts w:ascii="Arial" w:hAnsi="Arial" w:cs="Arial"/>
              <w:sz w:val="20"/>
              <w:szCs w:val="20"/>
            </w:rPr>
            <w:t xml:space="preserve"> de </w:t>
          </w:r>
          <w:r w:rsidR="00E07C0E">
            <w:rPr>
              <w:rFonts w:ascii="Arial" w:hAnsi="Arial" w:cs="Arial"/>
              <w:sz w:val="20"/>
              <w:szCs w:val="20"/>
            </w:rPr>
            <w:t>Setembro</w:t>
          </w:r>
          <w:r>
            <w:rPr>
              <w:rFonts w:ascii="Arial" w:hAnsi="Arial" w:cs="Arial"/>
              <w:sz w:val="20"/>
              <w:szCs w:val="20"/>
            </w:rPr>
            <w:t xml:space="preserve"> de 20</w:t>
          </w:r>
          <w:r w:rsidR="00B73C55">
            <w:rPr>
              <w:rFonts w:ascii="Arial" w:hAnsi="Arial" w:cs="Arial"/>
              <w:sz w:val="20"/>
              <w:szCs w:val="20"/>
            </w:rPr>
            <w:t>15</w:t>
          </w:r>
        </w:p>
        <w:p w:rsidR="00F9160D" w:rsidRDefault="00F9160D" w:rsidP="00B73C55">
          <w:pPr>
            <w:pStyle w:val="Cabealho"/>
            <w:spacing w:before="120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Docentes: JML </w:t>
          </w:r>
        </w:p>
      </w:tc>
    </w:tr>
    <w:tr w:rsidR="00F9160D">
      <w:trPr>
        <w:cantSplit/>
        <w:trHeight w:val="567"/>
      </w:trPr>
      <w:tc>
        <w:tcPr>
          <w:tcW w:w="3420" w:type="dxa"/>
          <w:vMerge/>
        </w:tcPr>
        <w:p w:rsidR="00F9160D" w:rsidRDefault="00F9160D">
          <w:pPr>
            <w:pStyle w:val="Cabealho"/>
          </w:pPr>
        </w:p>
      </w:tc>
      <w:tc>
        <w:tcPr>
          <w:tcW w:w="3420" w:type="dxa"/>
          <w:tcBorders>
            <w:right w:val="single" w:sz="4" w:space="0" w:color="auto"/>
          </w:tcBorders>
          <w:vAlign w:val="center"/>
        </w:tcPr>
        <w:p w:rsidR="00F9160D" w:rsidRDefault="00B73C55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Duração: 5</w:t>
          </w:r>
          <w:r w:rsidR="00F9160D">
            <w:rPr>
              <w:rFonts w:ascii="Arial" w:hAnsi="Arial" w:cs="Arial"/>
              <w:sz w:val="20"/>
              <w:szCs w:val="20"/>
            </w:rPr>
            <w:t>0 m; Tolerância: 10 m.</w:t>
          </w:r>
        </w:p>
      </w:tc>
      <w:tc>
        <w:tcPr>
          <w:tcW w:w="1800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Parte</w:t>
          </w:r>
          <w:r>
            <w:rPr>
              <w:rFonts w:ascii="Arial" w:hAnsi="Arial" w:cs="Arial"/>
              <w:sz w:val="20"/>
              <w:szCs w:val="20"/>
            </w:rPr>
            <w:br/>
            <w:t>Teórico-Prática</w:t>
          </w:r>
        </w:p>
      </w:tc>
      <w:tc>
        <w:tcPr>
          <w:tcW w:w="1999" w:type="dxa"/>
          <w:tcBorders>
            <w:left w:val="single" w:sz="4" w:space="0" w:color="auto"/>
          </w:tcBorders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Sem consulta</w:t>
          </w:r>
        </w:p>
      </w:tc>
    </w:tr>
    <w:tr w:rsidR="00F9160D">
      <w:trPr>
        <w:trHeight w:hRule="exact" w:val="113"/>
      </w:trPr>
      <w:tc>
        <w:tcPr>
          <w:tcW w:w="3420" w:type="dxa"/>
        </w:tcPr>
        <w:p w:rsidR="00F9160D" w:rsidRDefault="00F9160D">
          <w:pPr>
            <w:pStyle w:val="Cabealho"/>
          </w:pPr>
        </w:p>
      </w:tc>
      <w:tc>
        <w:tcPr>
          <w:tcW w:w="3420" w:type="dxa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800" w:type="dxa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99" w:type="dxa"/>
          <w:vAlign w:val="center"/>
        </w:tcPr>
        <w:p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:rsidR="00F9160D" w:rsidRDefault="00F9160D">
    <w:pPr>
      <w:pStyle w:val="Cabealho"/>
      <w:pBdr>
        <w:top w:val="single" w:sz="4" w:space="31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62E1081"/>
    <w:multiLevelType w:val="hybridMultilevel"/>
    <w:tmpl w:val="36665D86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AFEA57E">
      <w:start w:val="1"/>
      <w:numFmt w:val="lowerRoman"/>
      <w:lvlText w:val="%3)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787D"/>
    <w:rsid w:val="00000A23"/>
    <w:rsid w:val="00037A48"/>
    <w:rsid w:val="0004787D"/>
    <w:rsid w:val="00096039"/>
    <w:rsid w:val="000C32E2"/>
    <w:rsid w:val="000D0770"/>
    <w:rsid w:val="000E38F9"/>
    <w:rsid w:val="000F3076"/>
    <w:rsid w:val="0010474A"/>
    <w:rsid w:val="001047A8"/>
    <w:rsid w:val="001608EF"/>
    <w:rsid w:val="00162347"/>
    <w:rsid w:val="0016486F"/>
    <w:rsid w:val="00167CCF"/>
    <w:rsid w:val="0018489F"/>
    <w:rsid w:val="001A1692"/>
    <w:rsid w:val="001B65AD"/>
    <w:rsid w:val="0023678C"/>
    <w:rsid w:val="002745C5"/>
    <w:rsid w:val="00276236"/>
    <w:rsid w:val="002952DF"/>
    <w:rsid w:val="002B15CB"/>
    <w:rsid w:val="0031225C"/>
    <w:rsid w:val="00343AAB"/>
    <w:rsid w:val="0035210D"/>
    <w:rsid w:val="00354B07"/>
    <w:rsid w:val="003853E3"/>
    <w:rsid w:val="00391FE0"/>
    <w:rsid w:val="003F1FEC"/>
    <w:rsid w:val="003F506C"/>
    <w:rsid w:val="004128FC"/>
    <w:rsid w:val="00422DE6"/>
    <w:rsid w:val="004B05AB"/>
    <w:rsid w:val="004C25E6"/>
    <w:rsid w:val="004C67E0"/>
    <w:rsid w:val="004E12DC"/>
    <w:rsid w:val="00511C32"/>
    <w:rsid w:val="00513977"/>
    <w:rsid w:val="00525D1D"/>
    <w:rsid w:val="00533161"/>
    <w:rsid w:val="0054077E"/>
    <w:rsid w:val="00550CC4"/>
    <w:rsid w:val="00583F84"/>
    <w:rsid w:val="00594276"/>
    <w:rsid w:val="00595F92"/>
    <w:rsid w:val="005A1BCF"/>
    <w:rsid w:val="005A5804"/>
    <w:rsid w:val="005F118D"/>
    <w:rsid w:val="00621C30"/>
    <w:rsid w:val="0067062B"/>
    <w:rsid w:val="006755D1"/>
    <w:rsid w:val="006C4735"/>
    <w:rsid w:val="006D4CE1"/>
    <w:rsid w:val="006F4195"/>
    <w:rsid w:val="007438B4"/>
    <w:rsid w:val="00774DCE"/>
    <w:rsid w:val="007A595F"/>
    <w:rsid w:val="007B336C"/>
    <w:rsid w:val="007B582C"/>
    <w:rsid w:val="00825652"/>
    <w:rsid w:val="0084016A"/>
    <w:rsid w:val="008760FC"/>
    <w:rsid w:val="008B0BDD"/>
    <w:rsid w:val="008B13F9"/>
    <w:rsid w:val="008F2F18"/>
    <w:rsid w:val="009136F1"/>
    <w:rsid w:val="00924CEA"/>
    <w:rsid w:val="00931E15"/>
    <w:rsid w:val="0094274D"/>
    <w:rsid w:val="00954028"/>
    <w:rsid w:val="00957114"/>
    <w:rsid w:val="00961901"/>
    <w:rsid w:val="00964BF5"/>
    <w:rsid w:val="00985EBB"/>
    <w:rsid w:val="00A00F02"/>
    <w:rsid w:val="00A1243D"/>
    <w:rsid w:val="00A24620"/>
    <w:rsid w:val="00A35397"/>
    <w:rsid w:val="00A54BF9"/>
    <w:rsid w:val="00A550DA"/>
    <w:rsid w:val="00A56AB5"/>
    <w:rsid w:val="00A84EE6"/>
    <w:rsid w:val="00AD13F1"/>
    <w:rsid w:val="00AE1EBC"/>
    <w:rsid w:val="00B21325"/>
    <w:rsid w:val="00B33222"/>
    <w:rsid w:val="00B42B05"/>
    <w:rsid w:val="00B73C55"/>
    <w:rsid w:val="00BE02E4"/>
    <w:rsid w:val="00C15F68"/>
    <w:rsid w:val="00C5440A"/>
    <w:rsid w:val="00C70C22"/>
    <w:rsid w:val="00CD6E59"/>
    <w:rsid w:val="00CF3D33"/>
    <w:rsid w:val="00D42287"/>
    <w:rsid w:val="00D6291B"/>
    <w:rsid w:val="00D67CB6"/>
    <w:rsid w:val="00D73562"/>
    <w:rsid w:val="00D830EE"/>
    <w:rsid w:val="00DE2D00"/>
    <w:rsid w:val="00DF42E4"/>
    <w:rsid w:val="00DF577B"/>
    <w:rsid w:val="00E0098B"/>
    <w:rsid w:val="00E07C0E"/>
    <w:rsid w:val="00EB0334"/>
    <w:rsid w:val="00F17C8E"/>
    <w:rsid w:val="00F33935"/>
    <w:rsid w:val="00F56402"/>
    <w:rsid w:val="00F9160D"/>
    <w:rsid w:val="00FB2154"/>
    <w:rsid w:val="00FD4482"/>
    <w:rsid w:val="00FD7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pt-PT" w:eastAsia="pt-PT"/>
    </w:rPr>
  </w:style>
  <w:style w:type="character" w:default="1" w:styleId="Tipodeletrapredefinidodopargraf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HTMLpr-formatado">
    <w:name w:val="HTML Preformatted"/>
    <w:basedOn w:val="Normal"/>
    <w:link w:val="HTMLpr-formatadoCarcter"/>
    <w:uiPriority w:val="99"/>
    <w:unhideWhenUsed/>
    <w:rsid w:val="00E07C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Nmerodepgina">
    <w:name w:val="page number"/>
    <w:basedOn w:val="Tipodeletrapredefinidodopargrafo"/>
  </w:style>
  <w:style w:type="character" w:customStyle="1" w:styleId="HTMLpr-formatadoCarcter">
    <w:name w:val="HTML pré-formatado Carácter"/>
    <w:basedOn w:val="Tipodeletrapredefinidodopargrafo"/>
    <w:link w:val="HTMLpr-formatado"/>
    <w:uiPriority w:val="99"/>
    <w:rsid w:val="00E07C0E"/>
    <w:rPr>
      <w:rFonts w:ascii="Courier New" w:hAnsi="Courier New" w:cs="Courier New"/>
    </w:rPr>
  </w:style>
  <w:style w:type="paragraph" w:styleId="Textodebalo">
    <w:name w:val="Balloon Text"/>
    <w:basedOn w:val="Normal"/>
    <w:link w:val="TextodebaloCarcter"/>
    <w:rsid w:val="00B73C55"/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rsid w:val="00B73C55"/>
    <w:rPr>
      <w:rFonts w:ascii="Tahoma" w:hAnsi="Tahoma" w:cs="Tahoma"/>
      <w:sz w:val="16"/>
      <w:szCs w:val="16"/>
      <w:lang w:val="pt-PT" w:eastAsia="pt-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pt-PT" w:eastAsia="pt-PT"/>
    </w:rPr>
  </w:style>
  <w:style w:type="character" w:default="1" w:styleId="Tipodeletrapredefinidodopargraf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HTMLpr-formatado">
    <w:name w:val="HTML Preformatted"/>
    <w:basedOn w:val="Normal"/>
    <w:link w:val="HTMLpr-formatadoCarcter"/>
    <w:uiPriority w:val="99"/>
    <w:unhideWhenUsed/>
    <w:rsid w:val="00E07C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Nmerodepgina">
    <w:name w:val="page number"/>
    <w:basedOn w:val="Tipodeletrapredefinidodopargrafo"/>
  </w:style>
  <w:style w:type="character" w:customStyle="1" w:styleId="HTMLpr-formatadoCarcter">
    <w:name w:val="HTML pré-formatado Carácter"/>
    <w:basedOn w:val="Tipodeletrapredefinidodopargrafo"/>
    <w:link w:val="HTMLpr-formatado"/>
    <w:uiPriority w:val="99"/>
    <w:rsid w:val="00E07C0E"/>
    <w:rPr>
      <w:rFonts w:ascii="Courier New" w:hAnsi="Courier New" w:cs="Courier New"/>
    </w:rPr>
  </w:style>
  <w:style w:type="paragraph" w:styleId="Textodebalo">
    <w:name w:val="Balloon Text"/>
    <w:basedOn w:val="Normal"/>
    <w:link w:val="TextodebaloCarcter"/>
    <w:rsid w:val="00B73C55"/>
    <w:rPr>
      <w:rFonts w:ascii="Tahoma" w:hAnsi="Tahoma" w:cs="Tahoma"/>
      <w:sz w:val="16"/>
      <w:szCs w:val="16"/>
    </w:rPr>
  </w:style>
  <w:style w:type="character" w:customStyle="1" w:styleId="TextodebaloCarcter">
    <w:name w:val="Texto de balão Carácter"/>
    <w:basedOn w:val="Tipodeletrapredefinidodopargrafo"/>
    <w:link w:val="Textodebalo"/>
    <w:rsid w:val="00B73C55"/>
    <w:rPr>
      <w:rFonts w:ascii="Tahoma" w:hAnsi="Tahoma" w:cs="Tahoma"/>
      <w:sz w:val="16"/>
      <w:szCs w:val="16"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363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268</Words>
  <Characters>1533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Cotação</vt:lpstr>
      <vt:lpstr>Cotação</vt:lpstr>
    </vt:vector>
  </TitlesOfParts>
  <Company>ISPGaya</Company>
  <LinksUpToDate>false</LinksUpToDate>
  <CharactersWithSpaces>1798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Cotação</dc:title>
  <dc:creator>GREXT</dc:creator>
  <cp:lastModifiedBy>ciisp</cp:lastModifiedBy>
  <cp:revision>5</cp:revision>
  <cp:lastPrinted>2015-09-08T15:43:00Z</cp:lastPrinted>
  <dcterms:created xsi:type="dcterms:W3CDTF">2015-09-08T15:38:00Z</dcterms:created>
  <dcterms:modified xsi:type="dcterms:W3CDTF">2015-09-08T15:46:00Z</dcterms:modified>
</cp:coreProperties>
</file>