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675"/>
        <w:pBdr/>
        <w:bidi w:val="false"/>
        <w:spacing/>
        <w:ind/>
        <w:jc w:val="center"/>
        <w:rPr>
          <w:lang w:val="pt-PT"/>
        </w:rPr>
      </w:pPr>
      <w:r>
        <w:rPr>
          <w:rStyle w:val="670"/>
          <w:b/>
          <w:bCs/>
          <w:sz w:val="30"/>
          <w:szCs w:val="30"/>
          <w:lang w:val="pt-PT" w:bidi="pt-PT"/>
        </w:rPr>
      </w:r>
      <w:r>
        <w:rPr>
          <w:rStyle w:val="670"/>
          <w:b/>
          <w:bCs/>
          <w:sz w:val="30"/>
          <w:szCs w:val="30"/>
          <w:lang w:val="pt-PT"/>
        </w:rPr>
        <w:t xml:space="preserve">A Relevância do Assembly na Computação Moderna</w:t>
      </w:r>
      <w:r>
        <w:rPr>
          <w:lang w:val="pt-PT"/>
        </w:rPr>
      </w:r>
    </w:p>
    <w:p>
      <w:pPr>
        <w:pStyle w:val="675"/>
        <w:pBdr/>
        <w:bidi w:val="false"/>
        <w:spacing w:after="140" w:before="0" w:line="276" w:lineRule="auto"/>
        <w:ind/>
        <w:jc w:val="left"/>
        <w:rPr>
          <w:lang w:val="pt-PT"/>
        </w:rPr>
      </w:pPr>
      <w:r>
        <w:rPr>
          <w:lang w:val="pt-PT"/>
        </w:rPr>
        <w:t xml:space="preserve">Apesar do domínio das linguagens de alto nível no desenvolvimento de software contemporâneo, a programação em Assembly mantém uma posição fundamental em domínios </w:t>
      </w:r>
      <w:r>
        <w:rPr>
          <w:lang w:val="pt-PT"/>
        </w:rPr>
        <w:t xml:space="preserve">específicos da computação. A persistência desta linguagem de baixo nível, décadas após o surgimento de alternativas mais acessíveis, não é mera casualidade, mas sim reflexo de necessidades técnicas que apenas esta abordagem consegue satisfazer adequadament</w:t>
      </w:r>
      <w:r>
        <w:rPr>
          <w:lang w:val="pt-PT"/>
        </w:rPr>
        <w:t xml:space="preserve">e. A presente secção explora os fatores que sustentam a relevância contínua do Assembly, analisando as suas aplicações críticas e o valor que continua a proporcionar em contextos onde o controlo direto do hardware e a otimização extrema são imperativos.</w:t>
      </w:r>
      <w:r>
        <w:rPr>
          <w:lang w:val="pt-PT"/>
        </w:rPr>
      </w:r>
    </w:p>
    <w:p>
      <w:pPr>
        <w:pStyle w:val="679"/>
        <w:pBdr/>
        <w:bidi w:val="false"/>
        <w:spacing/>
        <w:ind w:firstLine="0" w:left="0"/>
        <w:jc w:val="left"/>
        <w:rPr>
          <w:lang w:val="pt-PT"/>
        </w:rPr>
      </w:pPr>
      <w:r>
        <w:rPr>
          <w:rStyle w:val="670"/>
          <w:sz w:val="28"/>
          <w:szCs w:val="28"/>
          <w:lang w:val="pt-PT"/>
        </w:rPr>
        <w:t xml:space="preserve">Contextos de Utilização em Sistemas Críticos</w:t>
      </w:r>
      <w:r>
        <w:rPr>
          <w:lang w:val="pt-PT"/>
        </w:rPr>
      </w:r>
    </w:p>
    <w:p>
      <w:pPr>
        <w:pStyle w:val="675"/>
        <w:pBdr/>
        <w:bidi w:val="false"/>
        <w:spacing w:after="140" w:before="0" w:line="276" w:lineRule="auto"/>
        <w:ind/>
        <w:jc w:val="left"/>
        <w:rPr>
          <w:lang w:val="pt-PT"/>
        </w:rPr>
      </w:pPr>
      <w:r>
        <w:rPr>
          <w:rStyle w:val="670"/>
          <w:sz w:val="26"/>
          <w:szCs w:val="26"/>
          <w:lang w:val="pt-BR"/>
        </w:rPr>
        <w:t xml:space="preserve">“</w:t>
      </w:r>
      <w:r>
        <w:rPr>
          <w:rStyle w:val="670"/>
          <w:sz w:val="26"/>
          <w:szCs w:val="26"/>
          <w:lang w:val="pt-PT"/>
        </w:rPr>
        <w:t xml:space="preserve">Embed</w:t>
      </w:r>
      <w:r>
        <w:rPr>
          <w:rStyle w:val="670"/>
          <w:sz w:val="26"/>
          <w:szCs w:val="26"/>
          <w:lang w:val="pt-PT"/>
        </w:rPr>
        <w:t xml:space="preserve">ded</w:t>
      </w:r>
      <w:r>
        <w:rPr>
          <w:rStyle w:val="670"/>
          <w:sz w:val="26"/>
          <w:szCs w:val="26"/>
          <w:lang w:val="pt-PT"/>
        </w:rPr>
        <w:t xml:space="preserve"> Systems</w:t>
      </w:r>
      <w:r>
        <w:rPr>
          <w:rStyle w:val="670"/>
          <w:sz w:val="26"/>
          <w:szCs w:val="26"/>
          <w:lang w:val="pt-BR"/>
        </w:rPr>
        <w:t xml:space="preserve">”</w:t>
      </w:r>
      <w:r>
        <w:rPr>
          <w:rStyle w:val="670"/>
          <w:sz w:val="26"/>
          <w:szCs w:val="26"/>
          <w:lang w:val="pt-PT"/>
        </w:rPr>
        <w:t xml:space="preserve"> e IoT.</w:t>
      </w:r>
      <w:r>
        <w:rPr>
          <w:lang w:val="pt-PT"/>
        </w:rPr>
        <w:br/>
        <w:t xml:space="preserve">Os </w:t>
      </w:r>
      <w:r>
        <w:rPr>
          <w:lang w:val="pt-BR"/>
        </w:rPr>
        <w:t xml:space="preserve">“</w:t>
      </w:r>
      <w:r>
        <w:rPr>
          <w:lang w:val="pt-BR"/>
        </w:rPr>
        <w:t xml:space="preserve">e</w:t>
      </w:r>
      <w:r>
        <w:rPr>
          <w:lang w:val="pt-PT"/>
        </w:rPr>
        <w:t xml:space="preserve">mbed</w:t>
      </w:r>
      <w:r>
        <w:rPr>
          <w:lang w:val="pt-PT"/>
        </w:rPr>
        <w:t xml:space="preserve">ded</w:t>
      </w:r>
      <w:r>
        <w:rPr>
          <w:lang w:val="pt-PT"/>
        </w:rPr>
        <w:t xml:space="preserve"> systems</w:t>
      </w:r>
      <w:r>
        <w:rPr>
          <w:lang w:val="pt-BR"/>
        </w:rPr>
        <w:t xml:space="preserve">”</w:t>
      </w:r>
      <w:r>
        <w:rPr>
          <w:lang w:val="pt-PT"/>
        </w:rPr>
        <w:t xml:space="preserve"> representam um dos domínios onde o Assembly permanece indispensável. Dispositivos com recursos computacionais limitados, como micro-controladores em eletrodomésticos, sistemas auto-motivos ou sensores IoT (“Int</w:t>
      </w:r>
      <w:r>
        <w:rPr>
          <w:lang w:val="pt-PT"/>
        </w:rPr>
        <w:t xml:space="preserve">ernet of Things”), frequentemente operam com memória RAM de apenas alguns kilobytes e processadores de baixa frequência. Nestas condições, cada byte de memória e cada ciclo de processador são preciosos. As linguagens de alto nível, embora mais produtivas, </w:t>
      </w:r>
      <w:r>
        <w:rPr>
          <w:lang w:val="pt-PT"/>
        </w:rPr>
        <w:t xml:space="preserve">utilizam mais recurso</w:t>
      </w:r>
      <w:r>
        <w:rPr>
          <w:lang w:val="pt-BR"/>
        </w:rPr>
        <w:t xml:space="preserve">s</w:t>
      </w:r>
      <w:r>
        <w:rPr>
          <w:lang w:val="pt-PT"/>
        </w:rPr>
        <w:t xml:space="preserve"> que pode ser contra-produtivo </w:t>
      </w:r>
      <w:r>
        <w:rPr>
          <w:lang w:val="pt-PT"/>
        </w:rPr>
        <w:t xml:space="preserve">em tais ambientes (Irvine, 2015). O Assembly permite aos programadores escrever código extremamente eficiente, aproveitando ao máximo os recursos disponíveis e garantindo tempos de resposta previsíveis, o que é essencial em aplicações de tempo real.</w:t>
      </w:r>
      <w:r>
        <w:rPr>
          <w:lang w:val="pt-PT"/>
        </w:rPr>
      </w:r>
    </w:p>
    <w:p>
      <w:pPr>
        <w:pStyle w:val="675"/>
        <w:pBdr/>
        <w:bidi w:val="false"/>
        <w:spacing/>
        <w:ind/>
        <w:jc w:val="left"/>
        <w:rPr>
          <w:lang w:val="pt-PT"/>
        </w:rPr>
      </w:pPr>
      <w:r>
        <w:rPr>
          <w:rStyle w:val="670"/>
          <w:sz w:val="26"/>
          <w:szCs w:val="26"/>
          <w:lang w:val="pt-PT"/>
        </w:rPr>
        <w:t xml:space="preserve">Sistemas Críticos</w:t>
      </w:r>
      <w:r>
        <w:rPr>
          <w:lang w:val="pt-PT"/>
        </w:rPr>
        <w:br/>
        <w:t xml:space="preserve">Em sectores onde falhas podem resultar em perda de vidas humanas ou catástrofes ambientais, a programação em Assembly continua a desempenhar um papel vital. </w:t>
      </w:r>
      <w:r>
        <w:rPr>
          <w:lang w:val="pt-PT"/>
        </w:rPr>
        <w:t xml:space="preserve">De</w:t>
      </w:r>
      <w:r>
        <w:rPr>
          <w:lang w:val="pt-PT"/>
        </w:rPr>
        <w:t xml:space="preserve"> aviação comercial e militar, os sistemas de controlo de centrais nucleares, os dispositivos médicos implantáveis (como </w:t>
      </w:r>
      <w:r>
        <w:rPr>
          <w:rStyle w:val="671"/>
          <w:lang w:val="pt-PT"/>
        </w:rPr>
        <w:t xml:space="preserve">pacemakers</w:t>
      </w:r>
      <w:r>
        <w:rPr>
          <w:lang w:val="pt-PT"/>
        </w:rPr>
        <w:t xml:space="preserve"> e des</w:t>
      </w:r>
      <w:r>
        <w:rPr>
          <w:lang w:val="pt-PT"/>
        </w:rPr>
        <w:t xml:space="preserve">fibrilhadores) e os sistemas de travagem automóvel são exemplos em que a fiabilidade e o determinismo são absolutamente críticos. O Assembly oferece controlo total sobre o comportamento do sistema, eliminando abstrações que possam introduzir comportamento</w:t>
      </w:r>
      <w:r>
        <w:rPr>
          <w:lang w:val="pt-PT"/>
        </w:rPr>
        <w:t xml:space="preserve">s imprevisíveis. Além disso, o código em Assembly é mais facilmente auditável e verificável através de métodos formais, uma exigência comum em certificações de segurança como a DO-178C (aviação) ou a IEC 62304 (dispositivos médicos) (Welsh &amp; Knaggs, n.d.).</w:t>
      </w:r>
      <w:r>
        <w:rPr>
          <w:lang w:val="pt-PT"/>
        </w:rPr>
      </w:r>
    </w:p>
    <w:p>
      <w:pPr>
        <w:pStyle w:val="675"/>
        <w:pBdr/>
        <w:bidi w:val="false"/>
        <w:spacing w:after="140" w:before="0" w:line="276" w:lineRule="auto"/>
        <w:ind/>
        <w:jc w:val="left"/>
        <w:rPr>
          <w:lang w:val="pt-PT"/>
        </w:rPr>
      </w:pPr>
      <w:r>
        <w:rPr>
          <w:rStyle w:val="670"/>
          <w:lang w:val="pt-PT"/>
        </w:rPr>
        <w:t xml:space="preserve">Exploração Espacial.</w:t>
      </w:r>
      <w:r>
        <w:rPr>
          <w:lang w:val="pt-PT"/>
        </w:rPr>
        <w:br/>
        <w:t xml:space="preserve">A exploração espacial constitui outro domínio onde o Assembly demonstra a sua relevância. O histórico </w:t>
      </w:r>
      <w:r>
        <w:rPr>
          <w:rStyle w:val="671"/>
          <w:lang w:val="pt-PT"/>
        </w:rPr>
        <w:t xml:space="preserve">Apollo Guidance Computer</w:t>
      </w:r>
      <w:r>
        <w:rPr>
          <w:lang w:val="pt-PT"/>
        </w:rPr>
        <w:t xml:space="preserve"> (AGC), que guiou</w:t>
      </w:r>
      <w:r>
        <w:rPr>
          <w:lang w:val="pt-PT"/>
        </w:rPr>
        <w:t xml:space="preserve"> as missões Apollo à Lua, foi programado extensivamente em Assembly devido às severas restrições de memória e processamento da época (Blum, 2005). Atualmente, embora os computadores de bordo tenham evoluído significativamente, missões espaciais de agência</w:t>
      </w:r>
      <w:r>
        <w:rPr>
          <w:lang w:val="pt-PT"/>
        </w:rPr>
        <w:t xml:space="preserve">s como a NASA, a ESA e empresas privadas como a SpaceX continuam a utilizar Assembly em componentes críticos. A radiação espacial pode causar erros transitórios em sistemas computacionais, e o código em Assembly permite implementar mecanismos de deteção e</w:t>
      </w:r>
      <w:r>
        <w:rPr>
          <w:lang w:val="pt-PT"/>
        </w:rPr>
        <w:t xml:space="preserve"> correção de erros de forma mais eficiente. A impossibilidade de manutenção física durante missões de longa duração torna imperativa a robustez absoluta do software, objetivo mais facilmente alcançável com o controlo granular proporcionado pelo Assembly.</w:t>
      </w:r>
      <w:r>
        <w:rPr>
          <w:lang w:val="pt-PT"/>
        </w:rPr>
      </w:r>
    </w:p>
    <w:p>
      <w:pPr>
        <w:pStyle w:val="675"/>
        <w:pBdr/>
        <w:bidi w:val="false"/>
        <w:spacing w:after="140" w:before="0" w:line="276" w:lineRule="auto"/>
        <w:ind/>
        <w:jc w:val="left"/>
        <w:rPr>
          <w:lang w:val="pt-PT"/>
        </w:rPr>
      </w:pPr>
      <w:r>
        <w:rPr>
          <w:lang w:val="pt-PT" w:bidi="pt-PT"/>
        </w:rPr>
      </w:r>
      <w:r>
        <w:rPr>
          <w:lang w:val="pt-PT"/>
        </w:rPr>
      </w:r>
    </w:p>
    <w:p>
      <w:pPr>
        <w:pStyle w:val="675"/>
        <w:pBdr/>
        <w:bidi w:val="false"/>
        <w:spacing w:after="140" w:before="0" w:line="276" w:lineRule="auto"/>
        <w:ind/>
        <w:jc w:val="left"/>
        <w:rPr>
          <w:lang w:val="pt-PT"/>
        </w:rPr>
      </w:pPr>
      <w:r>
        <w:rPr>
          <w:rStyle w:val="670"/>
          <w:sz w:val="28"/>
          <w:szCs w:val="28"/>
          <w:lang w:val="pt-PT"/>
        </w:rPr>
        <w:t xml:space="preserve">Utilização do Assembly em Segurança e Desempenho</w:t>
      </w:r>
      <w:r>
        <w:rPr>
          <w:lang w:val="pt-PT"/>
        </w:rPr>
      </w:r>
    </w:p>
    <w:p>
      <w:pPr>
        <w:pStyle w:val="675"/>
        <w:pBdr/>
        <w:bidi w:val="false"/>
        <w:spacing w:after="140" w:before="0" w:line="276" w:lineRule="auto"/>
        <w:ind/>
        <w:jc w:val="left"/>
        <w:rPr>
          <w:lang w:val="pt-PT"/>
        </w:rPr>
      </w:pPr>
      <w:r>
        <w:rPr>
          <w:rStyle w:val="670"/>
          <w:sz w:val="26"/>
          <w:szCs w:val="26"/>
          <w:lang w:val="pt-PT"/>
        </w:rPr>
        <w:t xml:space="preserve">Criptografia e Segurança da Informação.</w:t>
      </w:r>
      <w:r>
        <w:rPr>
          <w:lang w:val="pt-PT"/>
        </w:rPr>
        <w:br/>
        <w:t xml:space="preserve">No campo da criptografia, o Assembly desempenha um papel crucial na implementação de algoritmos seguros. Muitos ataques </w:t>
      </w:r>
      <w:r>
        <w:rPr>
          <w:lang w:val="pt-PT"/>
        </w:rPr>
        <w:t xml:space="preserve">cibernéticos</w:t>
      </w:r>
      <w:r>
        <w:rPr>
          <w:lang w:val="pt-PT"/>
        </w:rPr>
        <w:t xml:space="preserve"> modernos exploram variações no tempo de execução (</w:t>
      </w:r>
      <w:r>
        <w:rPr>
          <w:rStyle w:val="671"/>
          <w:lang w:val="pt-PT"/>
        </w:rPr>
        <w:t xml:space="preserve">timing attacks</w:t>
      </w:r>
      <w:r>
        <w:rPr>
          <w:lang w:val="pt-PT"/>
        </w:rPr>
        <w:t xml:space="preserve">) ou padrões de acesso à memória (</w:t>
      </w:r>
      <w:r>
        <w:rPr>
          <w:rStyle w:val="671"/>
          <w:lang w:val="pt-PT"/>
        </w:rPr>
        <w:t xml:space="preserve">cache-timing attacks</w:t>
      </w:r>
      <w:r>
        <w:rPr>
          <w:lang w:val="pt-PT"/>
        </w:rPr>
        <w:t xml:space="preserve">) para extra</w:t>
      </w:r>
      <w:r>
        <w:rPr>
          <w:lang w:val="pt-PT"/>
        </w:rPr>
        <w:t xml:space="preserve">ir informação sensível, como chaves criptográficas. As linguagens de alto nível frequentemente introduzem otimizações automáticas que podem criar vulnerabilidades temporais. O Assembly permite aos criptógrafos implementar algoritmos em “tempo constante” (</w:t>
      </w:r>
      <w:r>
        <w:rPr>
          <w:rStyle w:val="671"/>
          <w:lang w:val="pt-PT"/>
        </w:rPr>
        <w:t xml:space="preserve">constant-time</w:t>
      </w:r>
      <w:r>
        <w:rPr>
          <w:lang w:val="pt-PT"/>
        </w:rPr>
        <w:t xml:space="preserve">), nos quais o tempo de execução é independente dos dados processados, mitigando esta classe de ataques (Irvine, 2015). Bibliotecas criptográficas amplamente utilizadas, como a </w:t>
      </w:r>
      <w:r>
        <w:rPr>
          <w:rStyle w:val="671"/>
          <w:lang w:val="pt-PT"/>
        </w:rPr>
        <w:t xml:space="preserve">libsodium</w:t>
      </w:r>
      <w:r>
        <w:rPr>
          <w:lang w:val="pt-PT"/>
        </w:rPr>
        <w:t xml:space="preserve"> e componentes do OpenSSL, contêm secções críticas escritas em Assembly para garantir tanto segurança quanto desempenho.</w:t>
      </w:r>
      <w:r>
        <w:rPr>
          <w:lang w:val="pt-PT"/>
        </w:rPr>
      </w:r>
    </w:p>
    <w:p>
      <w:pPr>
        <w:pStyle w:val="675"/>
        <w:pBdr/>
        <w:bidi w:val="false"/>
        <w:spacing w:after="140" w:before="0" w:line="276" w:lineRule="auto"/>
        <w:ind/>
        <w:jc w:val="left"/>
        <w:rPr>
          <w:lang w:val="pt-PT"/>
        </w:rPr>
      </w:pPr>
      <w:r>
        <w:rPr>
          <w:rStyle w:val="670"/>
          <w:lang w:val="pt-PT"/>
        </w:rPr>
        <w:t xml:space="preserve">“</w:t>
      </w:r>
      <w:r>
        <w:rPr>
          <w:rStyle w:val="670"/>
          <w:lang w:val="pt-PT"/>
        </w:rPr>
        <w:t xml:space="preserve">Drivers” de Dispositivos e Firmware.</w:t>
      </w:r>
      <w:r>
        <w:rPr>
          <w:lang w:val="pt-PT"/>
        </w:rPr>
        <w:br/>
        <w:t xml:space="preserve">Os </w:t>
      </w:r>
      <w:r>
        <w:rPr>
          <w:rStyle w:val="671"/>
          <w:lang w:val="pt-PT"/>
        </w:rPr>
        <w:t xml:space="preserve">drivers</w:t>
      </w:r>
      <w:r>
        <w:rPr>
          <w:lang w:val="pt-PT"/>
        </w:rPr>
        <w:t xml:space="preserve"> de dispositivos e o firmware constituem outra área onde o Assembly permanece essencial. Estes componentes de </w:t>
      </w:r>
      <w:r>
        <w:rPr>
          <w:lang w:val="pt-PT"/>
        </w:rPr>
        <w:t xml:space="preserve">software atuam como interface direta entre o sistema operativo e o hardware, necessitando de acesso a instruções específicas do processador e a registos de hardware que não são acessíveis através de linguagens de alto nível. A inicialização de sistemas (</w:t>
      </w:r>
      <w:r>
        <w:rPr>
          <w:rStyle w:val="671"/>
          <w:lang w:val="pt-PT"/>
        </w:rPr>
        <w:t xml:space="preserve">bootloaders</w:t>
      </w:r>
      <w:r>
        <w:rPr>
          <w:lang w:val="pt-PT"/>
        </w:rPr>
        <w:t xml:space="preserve">) é tradicionalmente escrita em Assembly, pois deve executar antes de qualquer infra-estrutura de software mais complexa estar disponível. Mesmo em sistemas operativos modernos como o Linux ou o Windows, determinadas rotinas do </w:t>
      </w:r>
      <w:r>
        <w:rPr>
          <w:rStyle w:val="671"/>
          <w:lang w:val="pt-PT"/>
        </w:rPr>
        <w:t xml:space="preserve">kernel</w:t>
      </w:r>
      <w:r>
        <w:rPr>
          <w:lang w:val="pt-PT"/>
        </w:rPr>
        <w:t xml:space="preserve">, particularmente aquelas relacionadas com a gestão de interrupções e a transição entre modos de execução do processador, são implementadas em Assembly (Welsh &amp; Knaggs, n.d.).</w:t>
      </w:r>
      <w:r>
        <w:rPr>
          <w:lang w:val="pt-PT"/>
        </w:rPr>
      </w:r>
    </w:p>
    <w:p>
      <w:pPr>
        <w:pStyle w:val="675"/>
        <w:pBdr/>
        <w:bidi w:val="false"/>
        <w:spacing w:after="140" w:before="0" w:line="276" w:lineRule="auto"/>
        <w:ind/>
        <w:jc w:val="left"/>
        <w:rPr>
          <w:lang w:val="pt-PT"/>
        </w:rPr>
      </w:pPr>
      <w:r>
        <w:rPr>
          <w:rStyle w:val="670"/>
          <w:lang w:val="pt-PT"/>
        </w:rPr>
        <w:t xml:space="preserve">Otimização de Secções Críticas.</w:t>
      </w:r>
      <w:r>
        <w:rPr>
          <w:lang w:val="pt-PT"/>
        </w:rPr>
        <w:br/>
        <w:t xml:space="preserve">Mesmo em aplicações predominantemente desenvolvidas em linguagens de alto nível, o Assembly encontra utilizaç</w:t>
      </w:r>
      <w:r>
        <w:rPr>
          <w:lang w:val="pt-PT"/>
        </w:rPr>
        <w:t xml:space="preserve">ão na otimização de secções críticas de desempenho. Bibliotecas de processamento de imagem e vídeo, motores de jogos, simulações científicas e aplicações de processamento de sinal frequentemente contêm rotinas em Assembly para aproveitar instruções SIMD (</w:t>
      </w:r>
      <w:r>
        <w:rPr>
          <w:rStyle w:val="671"/>
          <w:lang w:val="pt-PT"/>
        </w:rPr>
        <w:t xml:space="preserve">Single Instruction, Multiple Data</w:t>
      </w:r>
      <w:r>
        <w:rPr>
          <w:lang w:val="pt-PT"/>
        </w:rPr>
        <w:t xml:space="preserve">), como SSE, AVX ou NEON, que permitem processar múltiplos dados simultaneamente. Esta</w:t>
      </w:r>
      <w:r>
        <w:rPr>
          <w:lang w:val="pt-PT"/>
        </w:rPr>
        <w:t xml:space="preserve">s instruções não são facilmente acessíveis através de linguagens de alto nível, e a sua utilização correta pode resultar em acelerações de 4x, 8x ou mais em operações específicas. O estudo de Blem et al. (2013) demonstra que, apesar da convergência entre </w:t>
      </w:r>
      <w:r>
        <w:rPr>
          <w:lang w:val="pt-PT"/>
        </w:rPr>
        <w:t xml:space="preserve">arquiteturas RISC e CISC ao nível da microarquitectura, o Assembly continua a permitir otimizações que linguagens de alto nível não conseguem alcançar, particularmente quando se exploram instruções vetoriais e características específicas do processador.</w:t>
      </w:r>
      <w:r>
        <w:rPr>
          <w:lang w:val="pt-PT"/>
        </w:rPr>
      </w:r>
    </w:p>
    <w:p>
      <w:pPr>
        <w:pStyle w:val="675"/>
        <w:pBdr/>
        <w:bidi w:val="false"/>
        <w:spacing w:after="140" w:before="0" w:line="276" w:lineRule="auto"/>
        <w:ind/>
        <w:jc w:val="left"/>
        <w:rPr>
          <w:lang w:val="pt-PT"/>
        </w:rPr>
      </w:pPr>
      <w:r>
        <w:rPr>
          <w:rStyle w:val="670"/>
          <w:lang w:val="pt-PT"/>
        </w:rPr>
        <w:t xml:space="preserve">Aplicações em Análise e Educação</w:t>
      </w:r>
      <w:r>
        <w:rPr>
          <w:lang w:val="pt-PT"/>
        </w:rPr>
      </w:r>
    </w:p>
    <w:p>
      <w:pPr>
        <w:pStyle w:val="675"/>
        <w:pBdr/>
        <w:bidi w:val="false"/>
        <w:spacing w:after="140" w:before="0" w:line="276" w:lineRule="auto"/>
        <w:ind/>
        <w:jc w:val="left"/>
        <w:rPr>
          <w:lang w:val="pt-PT"/>
        </w:rPr>
      </w:pPr>
      <w:r>
        <w:rPr>
          <w:rStyle w:val="670"/>
          <w:lang w:val="pt-PT"/>
        </w:rPr>
        <w:t xml:space="preserve">“</w:t>
      </w:r>
      <w:r>
        <w:rPr>
          <w:rStyle w:val="670"/>
          <w:lang w:val="pt-PT"/>
        </w:rPr>
        <w:t xml:space="preserve">Reverse Engineering” e Análise de Malware.</w:t>
      </w:r>
      <w:r>
        <w:rPr>
          <w:lang w:val="pt-PT"/>
        </w:rPr>
        <w:br/>
        <w:t xml:space="preserve">O </w:t>
      </w:r>
      <w:r>
        <w:rPr>
          <w:rStyle w:val="671"/>
          <w:lang w:val="pt-PT"/>
        </w:rPr>
        <w:t xml:space="preserve">reverse engineering</w:t>
      </w:r>
      <w:r>
        <w:rPr>
          <w:lang w:val="pt-PT"/>
        </w:rPr>
        <w:t xml:space="preserve"> e a análise de </w:t>
      </w:r>
      <w:r>
        <w:rPr>
          <w:rStyle w:val="671"/>
          <w:lang w:val="pt-PT"/>
        </w:rPr>
        <w:t xml:space="preserve">malware</w:t>
      </w:r>
      <w:r>
        <w:rPr>
          <w:lang w:val="pt-PT"/>
        </w:rPr>
        <w:t xml:space="preserve"> dependem fortemente do conhecimento de Assembly. Quando o código-fonte de um programa não está </w:t>
      </w:r>
      <w:r>
        <w:rPr>
          <w:lang w:val="pt-PT"/>
        </w:rPr>
        <w:t xml:space="preserve">disponível, a descompilação resulta em código Assembly que deve ser analisado para compreender o funcionamento do software. Investigadores de segurança utilizam esta técnica para identificar vulnerabilidades em software proprietário, enquanto analistas de </w:t>
      </w:r>
      <w:r>
        <w:rPr>
          <w:rStyle w:val="671"/>
          <w:lang w:val="pt-PT"/>
        </w:rPr>
        <w:t xml:space="preserve">malware</w:t>
      </w:r>
      <w:r>
        <w:rPr>
          <w:lang w:val="pt-PT"/>
        </w:rPr>
        <w:t xml:space="preserve"> a empregam para compreender o comportamento de código malicioso e desenvolver contra-medidas. Ferramentas como IDA Pro, Ghidra e radare2, amplamente utilizadas na indústria da cibersegurança, baseiam-se na análise de Assembly. Paradoxalmente, o próprio </w:t>
      </w:r>
      <w:r>
        <w:rPr>
          <w:rStyle w:val="671"/>
          <w:lang w:val="pt-PT"/>
        </w:rPr>
        <w:t xml:space="preserve">malware</w:t>
      </w:r>
      <w:r>
        <w:rPr>
          <w:lang w:val="pt-PT"/>
        </w:rPr>
        <w:t xml:space="preserve"> é frequentemente desenvolvido em Assembly para dificultar a análise e a deteção, tornando o conhecimento desta linguagem essencial tanto para atacantes quanto para defensores (“Assembly Language,” 2025).</w:t>
      </w:r>
      <w:r>
        <w:rPr>
          <w:lang w:val="pt-PT"/>
        </w:rPr>
      </w:r>
    </w:p>
    <w:p>
      <w:pPr>
        <w:pStyle w:val="675"/>
        <w:pBdr/>
        <w:bidi w:val="false"/>
        <w:spacing w:after="140" w:before="0" w:line="276" w:lineRule="auto"/>
        <w:ind/>
        <w:jc w:val="left"/>
        <w:rPr>
          <w:lang w:val="pt-PT"/>
        </w:rPr>
      </w:pPr>
      <w:r>
        <w:rPr>
          <w:rStyle w:val="670"/>
          <w:lang w:val="pt-PT"/>
        </w:rPr>
        <w:t xml:space="preserve">Educação e Compreensão Arquitetural.</w:t>
      </w:r>
      <w:r>
        <w:rPr>
          <w:lang w:val="pt-PT"/>
        </w:rPr>
        <w:br/>
        <w:t xml:space="preserve">Do ponto de vista educacional, o Assembly continua a ser fundamental para o e</w:t>
      </w:r>
      <w:r>
        <w:rPr>
          <w:lang w:val="pt-PT"/>
        </w:rPr>
        <w:t xml:space="preserve">nsino de arquitetura de computadores e organização de sistemas. Compreender Assembly proporciona aos estudantes uma visão profunda de como os computadores realmente funcionam ao nível mais fundamental. Conceitos como gestão de memória, pilha de execução (</w:t>
      </w:r>
      <w:r>
        <w:rPr>
          <w:rStyle w:val="671"/>
          <w:lang w:val="pt-PT"/>
        </w:rPr>
        <w:t xml:space="preserve">stack</w:t>
      </w:r>
      <w:r>
        <w:rPr>
          <w:lang w:val="pt-PT"/>
        </w:rPr>
        <w:t xml:space="preserve">), registos, modos de endereçamento e a </w:t>
      </w:r>
      <w:r>
        <w:rPr>
          <w:rStyle w:val="671"/>
          <w:lang w:val="pt-PT"/>
        </w:rPr>
        <w:t xml:space="preserve">pipeline</w:t>
      </w:r>
      <w:r>
        <w:rPr>
          <w:lang w:val="pt-PT"/>
        </w:rPr>
        <w:t xml:space="preserve"> de execução do processador tornam-se tangíveis através da programação em Assembly. Este conhecimento não é meramente ac</w:t>
      </w:r>
      <w:r>
        <w:rPr>
          <w:lang w:val="pt-PT"/>
        </w:rPr>
        <w:t xml:space="preserve">adémico; programadores que compreendem Assembly são frequentemente mais capazes de escrever código eficiente mesmo em linguagens de alto nível, pois entendem as implicações das suas escolhas ao nível do hardware. Como observa Vu (2016), a programação em As</w:t>
      </w:r>
      <w:r>
        <w:rPr>
          <w:lang w:val="pt-PT"/>
        </w:rPr>
        <w:t xml:space="preserve">sembly constitui uma arte que exige não apenas conhecimento da lógica do programa, mas também compreensão detalhada dos componentes internos do hardware, capacitando os estudantes com uma perspetiva única sobre o funcionamento dos sistemas computacionais.</w:t>
      </w:r>
      <w:r>
        <w:rPr>
          <w:lang w:val="pt-PT"/>
        </w:rPr>
      </w:r>
    </w:p>
    <w:p>
      <w:pPr>
        <w:pStyle w:val="675"/>
        <w:pBdr/>
        <w:bidi w:val="false"/>
        <w:spacing w:after="140" w:before="0" w:line="276" w:lineRule="auto"/>
        <w:ind/>
        <w:jc w:val="left"/>
        <w:rPr>
          <w:lang w:val="pt-PT"/>
        </w:rPr>
      </w:pPr>
      <w:r>
        <w:rPr>
          <w:rStyle w:val="670"/>
          <w:lang w:val="pt-PT"/>
        </w:rPr>
        <w:t xml:space="preserve">Tendências Futuras e Perspetivas</w:t>
      </w:r>
      <w:r>
        <w:rPr>
          <w:lang w:val="pt-PT"/>
        </w:rPr>
      </w:r>
    </w:p>
    <w:p>
      <w:pPr>
        <w:pStyle w:val="675"/>
        <w:pBdr/>
        <w:bidi w:val="false"/>
        <w:spacing w:after="140" w:before="0" w:line="276" w:lineRule="auto"/>
        <w:ind/>
        <w:jc w:val="left"/>
        <w:rPr>
          <w:highlight w:val="none"/>
          <w:lang w:val="pt-PT"/>
        </w:rPr>
      </w:pPr>
      <w:r>
        <w:rPr>
          <w:lang w:val="pt-PT"/>
        </w:rPr>
        <w:t xml:space="preserve">Embora seja improvável que o Assembly volte a ser a linguagem dominante no desenvolvimento de software,</w:t>
      </w:r>
      <w:r>
        <w:rPr>
          <w:lang w:val="pt-PT"/>
        </w:rPr>
        <w:t xml:space="preserve"> diversos fatores sugerem que a sua relevância persistirá. A proliferação de dispositivos IoT, com estimativas de dezenas de biliões de dispositivos conectados nas próximas décadas, garante um mercado contínuo para programação eficiente em ambientes com r</w:t>
      </w:r>
      <w:r>
        <w:rPr>
          <w:lang w:val="pt-PT"/>
        </w:rPr>
        <w:t xml:space="preserve">ecursos limitados. A crescente preocupação com segurança e privacidade impulsiona a procura por implementações criptográficas seguras, nas quais o Assembly oferece vantagens únicas. Além disso, o surgimento de novas arquiteturas de processadores, como os </w:t>
      </w:r>
      <w:r>
        <w:rPr>
          <w:rStyle w:val="671"/>
          <w:lang w:val="pt-PT"/>
        </w:rPr>
        <w:t xml:space="preserve">chips</w:t>
      </w:r>
      <w:r>
        <w:rPr>
          <w:lang w:val="pt-PT"/>
        </w:rPr>
        <w:t xml:space="preserve"> baseados em RISC-V, renova o interesse em programação de baixo nível, uma vez que ferramentas e compiladores para estas plataformas ainda se encontram em maturação (Welsh &amp; Knaggs, n.d.).</w:t>
      </w:r>
      <w:r>
        <w:rPr>
          <w:lang w:val="pt-PT"/>
        </w:rPr>
      </w:r>
    </w:p>
    <w:p>
      <w:pPr>
        <w:pStyle w:val="675"/>
        <w:pBdr/>
        <w:bidi w:val="false"/>
        <w:spacing w:after="140" w:before="0" w:line="276" w:lineRule="auto"/>
        <w:ind/>
        <w:jc w:val="left"/>
        <w:rPr>
          <w:color w:val="c00000"/>
        </w:rPr>
      </w:pPr>
      <w:r>
        <w:rPr>
          <w:color w:val="c00000"/>
          <w:highlight w:val="none"/>
          <w:lang w:val="pt-PT" w:bidi="pt-PT"/>
        </w:rPr>
      </w:r>
      <w:r>
        <w:rPr>
          <w:color w:val="c00000"/>
          <w:highlight w:val="none"/>
          <w:lang w:val="pt-BR"/>
        </w:rPr>
        <w:t xml:space="preserve">Abordar a recente crescimento de robos.</w:t>
      </w:r>
      <w:r>
        <w:rPr>
          <w:color w:val="c00000"/>
        </w:rPr>
      </w:r>
    </w:p>
    <w:p>
      <w:pPr>
        <w:pStyle w:val="675"/>
        <w:pBdr/>
        <w:bidi w:val="false"/>
        <w:spacing w:after="140" w:before="0" w:line="276" w:lineRule="auto"/>
        <w:ind/>
        <w:jc w:val="left"/>
        <w:rPr>
          <w:lang w:val="pt-PT"/>
        </w:rPr>
      </w:pPr>
      <w:r>
        <w:rPr>
          <w:lang w:val="pt-PT"/>
        </w:rPr>
        <w:t xml:space="preserve">A computação qu</w:t>
      </w:r>
      <w:r>
        <w:rPr>
          <w:lang w:val="pt-PT"/>
        </w:rPr>
        <w:t xml:space="preserve">ântica e a computação neuromórfica</w:t>
      </w:r>
      <w:r>
        <w:rPr>
          <w:color w:val="c00000"/>
          <w:lang w:val="pt-BR"/>
        </w:rPr>
        <w:t xml:space="preserve">(que aqui esta apenas a falar da alteraçao da arquitectura do processador, essas mesmas alteraçoes da arquitectura podem nao vir a ser so devido ao aumento de nessecidade de processamento e a perfomance em termos de gerir os recursos utilizados) (ou ate mesmo com o aperacimento de sistemas como o nerolink ou outros que sua funçao seja auxiliar a falta ou substituir algo no corpo humano, como orgaos)</w:t>
      </w:r>
      <w:r>
        <w:rPr>
          <w:lang w:val="pt-PT"/>
        </w:rPr>
        <w:t xml:space="preserve">, paradigmas emergentes que se afastam da arquitectura von Neumann tradicional, podem eventualmente redefinir o papel do Assembly. Contudo, mesmo nestas tecnologias nascentes, será necessário algum nível de programação pró</w:t>
      </w:r>
      <w:r>
        <w:rPr>
          <w:lang w:val="pt-PT"/>
        </w:rPr>
        <w:t xml:space="preserve">xima do hardware para otimizar algoritmos e extrair o máximo desempenho. Assim, embora a forma específica possa evoluir, o princípio fundamental da programação de baixo nível para controlo preciso e otimização extrema provavelmente permanecerá relevante.</w:t>
      </w:r>
      <w:r>
        <w:rPr>
          <w:lang w:val="pt-PT"/>
        </w:rPr>
      </w:r>
    </w:p>
    <w:p>
      <w:pPr>
        <w:pStyle w:val="675"/>
        <w:pBdr/>
        <w:bidi w:val="false"/>
        <w:spacing w:after="140" w:before="0" w:line="276" w:lineRule="auto"/>
        <w:ind/>
        <w:jc w:val="left"/>
        <w:rPr>
          <w:highlight w:val="none"/>
          <w:lang w:val="pt-PT"/>
        </w:rPr>
      </w:pPr>
      <w:r>
        <w:rPr>
          <w:lang w:val="pt-PT"/>
        </w:rPr>
        <w:t xml:space="preserve">E</w:t>
      </w:r>
      <w:r>
        <w:rPr>
          <w:lang w:val="pt-PT"/>
        </w:rPr>
        <w:t xml:space="preserve">m síntese, a programação em Assembly mantém-se como uma competência especializada, mas vital, na computação contemporânea. Longe de ser uma relíquia histórica, constitui uma ferramenta essencial em domínios onde o controlo direto do hardware, a eficiência</w:t>
      </w:r>
      <w:r>
        <w:rPr>
          <w:lang w:val="pt-PT"/>
        </w:rPr>
        <w:t xml:space="preserve"> extrema, a segurança rigorosa ou o determinismo absoluto são requisitos inegociável. À medida que a tecnologia evolui, o equilíbrio entre abstração e controlo continua a ser um tema central na engenharia de software, e o Assembly permanece como a expres</w:t>
      </w:r>
      <w:r>
        <w:rPr>
          <w:lang w:val="pt-PT"/>
        </w:rPr>
        <w:t xml:space="preserve">são mais pura do controlo sobre a máquina. Para profissionais e investigadores em áreas críticas, o conhecimento de Assembly não é opcional, mas fundamental para compreender e dominar plenamente os sistemas computacionais que sustentam a sociedade moderna.</w:t>
      </w:r>
      <w:r>
        <w:rPr>
          <w:lang w:val="pt-PT"/>
        </w:rPr>
      </w:r>
    </w:p>
    <w:p>
      <w:pPr>
        <w:pStyle w:val="675"/>
        <w:pBdr/>
        <w:bidi w:val="false"/>
        <w:spacing w:after="140" w:before="0" w:line="276" w:lineRule="auto"/>
        <w:ind/>
        <w:jc w:val="left"/>
        <w:rPr>
          <w:lang w:val="pt-PT"/>
        </w:rPr>
      </w:pPr>
      <w:r>
        <w:rPr>
          <w:lang w:val="pt-PT"/>
        </w:rPr>
      </w:r>
      <w:r>
        <w:rPr>
          <w:lang w:val="pt-PT"/>
        </w:rPr>
      </w:r>
      <w:r>
        <w:rPr>
          <w:lang w:val="pt-PT"/>
        </w:rPr>
      </w:r>
    </w:p>
    <w:p>
      <w:pPr>
        <w:pStyle w:val="675"/>
        <w:pBdr/>
        <w:bidi w:val="false"/>
        <w:spacing w:after="140" w:before="0" w:line="276" w:lineRule="auto"/>
        <w:ind/>
        <w:jc w:val="left"/>
        <w:rPr>
          <w:color w:val="c00000"/>
        </w:rPr>
      </w:pPr>
      <w:r>
        <w:rPr>
          <w:color w:val="c00000"/>
          <w:highlight w:val="none"/>
          <w:lang w:val="pt-BR"/>
        </w:rPr>
        <w:t xml:space="preserve">Ver sobre os varios assemblers fazer uma tabela sobre eles para dar exemplo de alguns que sejam utilizados em contextos diferentes ate referencialos nas secçoes cima.</w:t>
      </w:r>
      <w:r>
        <w:rPr>
          <w:color w:val="c00000"/>
        </w:rPr>
      </w:r>
    </w:p>
    <w:p>
      <w:pPr>
        <w:pStyle w:val="675"/>
        <w:pBdr/>
        <w:bidi w:val="false"/>
        <w:spacing w:after="140" w:before="0" w:line="276" w:lineRule="auto"/>
        <w:ind/>
        <w:jc w:val="left"/>
        <w:rPr>
          <w:lang w:val="pt-PT"/>
        </w:rPr>
      </w:pPr>
      <w:r>
        <w:rPr>
          <w:lang w:val="pt-PT" w:bidi="pt-PT"/>
        </w:rPr>
      </w:r>
      <w:r>
        <w:rPr>
          <w:lang w:val="pt-PT"/>
        </w:rPr>
      </w:r>
    </w:p>
    <w:p>
      <w:pPr>
        <w:pStyle w:val="669"/>
        <w:pBdr/>
        <w:bidi w:val="false"/>
        <w:spacing/>
        <w:ind/>
        <w:jc w:val="left"/>
        <w:rPr>
          <w:b/>
          <w:bCs/>
          <w:color w:val="auto"/>
          <w:highlight w:val="none"/>
          <w:shd w:val="clear" w:color="auto" w:fill="auto"/>
          <w:lang w:val="pt-PT"/>
        </w:rPr>
      </w:pPr>
      <w:r>
        <w:rPr>
          <w:b/>
          <w:bCs/>
          <w:color w:val="auto"/>
          <w:shd w:val="clear" w:color="auto" w:fill="auto"/>
          <w:lang w:val="pt-PT"/>
        </w:rPr>
        <w:t xml:space="preserve">Bibliografia</w:t>
      </w:r>
      <w:r>
        <w:rPr>
          <w:b/>
          <w:bCs/>
          <w:color w:val="auto"/>
          <w:highlight w:val="none"/>
          <w:shd w:val="clear" w:color="auto" w:fill="auto"/>
          <w:lang w:val="pt-PT"/>
        </w:rPr>
      </w:r>
    </w:p>
    <w:p>
      <w:pPr>
        <w:pStyle w:val="668"/>
        <w:numPr>
          <w:ilvl w:val="0"/>
          <w:numId w:val="1"/>
        </w:numPr>
        <w:pBdr/>
        <w:bidi w:val="false"/>
        <w:spacing/>
        <w:ind/>
        <w:jc w:val="left"/>
        <w:rPr>
          <w:lang w:val="pt-PT"/>
        </w:rPr>
      </w:pPr>
      <w:r>
        <w:rPr>
          <w:lang w:val="pt-PT"/>
        </w:rPr>
        <w:t xml:space="preserve">Assembly language. (2025). In Wikipedia. </w:t>
      </w:r>
      <w:hyperlink r:id="rId9" w:tooltip="https://en.wikipedia.org/wiki/Assembly_language" w:history="1">
        <w:r>
          <w:rPr>
            <w:rStyle w:val="672"/>
            <w:lang w:val="pt-PT"/>
          </w:rPr>
          <w:t xml:space="preserve">https://en.wikipedia.org/wiki/Assembly_language</w:t>
        </w:r>
      </w:hyperlink>
      <w:r>
        <w:rPr>
          <w:lang w:val="pt-PT" w:bidi="pt-PT"/>
        </w:rPr>
      </w:r>
      <w:r>
        <w:rPr>
          <w:lang w:val="pt-PT"/>
        </w:rPr>
      </w:r>
    </w:p>
    <w:p>
      <w:pPr>
        <w:pStyle w:val="668"/>
        <w:numPr>
          <w:ilvl w:val="0"/>
          <w:numId w:val="0"/>
        </w:numPr>
        <w:pBdr/>
        <w:bidi w:val="false"/>
        <w:spacing/>
        <w:ind w:firstLine="0" w:left="720"/>
        <w:jc w:val="left"/>
        <w:rPr>
          <w:lang w:val="pt-PT"/>
        </w:rPr>
      </w:pPr>
      <w:r>
        <w:rPr>
          <w:lang w:val="pt-PT" w:bidi="pt-PT"/>
        </w:rPr>
      </w:r>
      <w:r>
        <w:rPr>
          <w:lang w:val="pt-PT"/>
        </w:rPr>
      </w:r>
    </w:p>
    <w:p>
      <w:pPr>
        <w:pStyle w:val="668"/>
        <w:numPr>
          <w:ilvl w:val="0"/>
          <w:numId w:val="1"/>
        </w:numPr>
        <w:pBdr/>
        <w:bidi w:val="false"/>
        <w:spacing/>
        <w:ind/>
        <w:jc w:val="left"/>
        <w:rPr>
          <w:lang w:val="pt-PT"/>
        </w:rPr>
      </w:pPr>
      <w:r>
        <w:rPr>
          <w:lang w:val="pt-PT"/>
        </w:rPr>
        <w:t xml:space="preserve">Blem, E., Menon, J., &amp; Sankaralingam, K. (n.d.). A Detailed Analysis of Contemporary ARM and x86 Architectures. University of Wisconsin-Madison. (</w:t>
      </w:r>
      <w:hyperlink r:id="rId10" w:tooltip="https://www.researchgate.net/publication/266457125_A_Detailed_Analysis_of_Contemporary_ARM_and_x86_Architectures" w:history="1">
        <w:r>
          <w:rPr>
            <w:rStyle w:val="672"/>
            <w:lang w:val="pt-PT"/>
          </w:rPr>
          <w:t xml:space="preserve">https://www.researchgate.net/publication/266457125_A_Detailed_Analysis_of_Contemporary_ARM_and_x86_Architectures</w:t>
        </w:r>
      </w:hyperlink>
      <w:r>
        <w:rPr>
          <w:lang w:val="pt-PT"/>
        </w:rPr>
        <w:t xml:space="preserve">)</w:t>
      </w:r>
      <w:r>
        <w:rPr>
          <w:lang w:val="pt-PT"/>
        </w:rPr>
      </w:r>
    </w:p>
    <w:p>
      <w:pPr>
        <w:pStyle w:val="668"/>
        <w:numPr>
          <w:ilvl w:val="0"/>
          <w:numId w:val="0"/>
        </w:numPr>
        <w:pBdr/>
        <w:bidi w:val="false"/>
        <w:spacing/>
        <w:ind w:firstLine="0" w:left="720"/>
        <w:jc w:val="left"/>
        <w:rPr>
          <w:lang w:val="pt-PT"/>
        </w:rPr>
      </w:pPr>
      <w:r>
        <w:rPr>
          <w:lang w:val="pt-PT" w:bidi="pt-PT"/>
        </w:rPr>
      </w:r>
      <w:r>
        <w:rPr>
          <w:lang w:val="pt-PT"/>
        </w:rPr>
      </w:r>
    </w:p>
    <w:p>
      <w:pPr>
        <w:pStyle w:val="668"/>
        <w:numPr>
          <w:ilvl w:val="0"/>
          <w:numId w:val="1"/>
        </w:numPr>
        <w:pBdr/>
        <w:bidi w:val="false"/>
        <w:spacing/>
        <w:ind/>
        <w:jc w:val="left"/>
        <w:rPr>
          <w:lang w:val="pt-PT"/>
        </w:rPr>
      </w:pPr>
      <w:r>
        <w:rPr>
          <w:lang w:val="pt-PT"/>
        </w:rPr>
        <w:t xml:space="preserve">Blum, R. (2005). Professional assembly language. Wiley. (</w:t>
      </w:r>
      <w:hyperlink r:id="rId11" w:tooltip="https://dn720603.ca.archive.org/0/items/Professional_Assembly_Language_2005/Professional_Assembly_Language_2005.pdf" w:history="1">
        <w:r>
          <w:rPr>
            <w:rStyle w:val="672"/>
            <w:lang w:val="pt-PT"/>
          </w:rPr>
          <w:t xml:space="preserve">https://dn720603.ca.archive.org/0/items/Professional_Assembly_Language_2005/Professional_Assembly_Language_2005.pdf</w:t>
        </w:r>
      </w:hyperlink>
      <w:r>
        <w:rPr>
          <w:lang w:val="pt-PT"/>
        </w:rPr>
        <w:t xml:space="preserve">)</w:t>
      </w:r>
      <w:r>
        <w:rPr>
          <w:lang w:val="pt-PT"/>
        </w:rPr>
      </w:r>
    </w:p>
    <w:p>
      <w:pPr>
        <w:pStyle w:val="668"/>
        <w:numPr>
          <w:ilvl w:val="0"/>
          <w:numId w:val="0"/>
        </w:numPr>
        <w:pBdr/>
        <w:bidi w:val="false"/>
        <w:spacing/>
        <w:ind w:firstLine="0" w:left="720"/>
        <w:jc w:val="left"/>
        <w:rPr>
          <w:lang w:val="pt-PT"/>
        </w:rPr>
      </w:pPr>
      <w:r>
        <w:rPr>
          <w:lang w:val="pt-PT" w:bidi="pt-PT"/>
        </w:rPr>
      </w:r>
      <w:r>
        <w:rPr>
          <w:lang w:val="pt-PT"/>
        </w:rPr>
      </w:r>
    </w:p>
    <w:p>
      <w:pPr>
        <w:pStyle w:val="668"/>
        <w:numPr>
          <w:ilvl w:val="0"/>
          <w:numId w:val="1"/>
        </w:numPr>
        <w:pBdr/>
        <w:bidi w:val="false"/>
        <w:spacing/>
        <w:ind/>
        <w:jc w:val="left"/>
        <w:rPr>
          <w:lang w:val="pt-PT"/>
        </w:rPr>
      </w:pPr>
      <w:r>
        <w:rPr>
          <w:lang w:val="pt-PT"/>
        </w:rPr>
        <w:t xml:space="preserve">Irvine, K. R. (2015). Assembly language for x86 processors (7th ed.). Pearson.(</w:t>
      </w:r>
      <w:hyperlink r:id="rId12" w:tooltip="https://www.asmirvine.com/files/FrontMatter_7e.pdf" w:history="1">
        <w:r>
          <w:rPr>
            <w:rStyle w:val="672"/>
            <w:lang w:val="pt-PT"/>
          </w:rPr>
          <w:t xml:space="preserve">https://www.asmirvine.com/files/FrontMatter_7e.pdf</w:t>
        </w:r>
      </w:hyperlink>
      <w:r>
        <w:rPr>
          <w:lang w:val="pt-PT"/>
        </w:rPr>
        <w:t xml:space="preserve">)</w:t>
      </w:r>
      <w:r>
        <w:rPr>
          <w:lang w:val="pt-PT"/>
        </w:rPr>
      </w:r>
    </w:p>
    <w:p>
      <w:pPr>
        <w:pStyle w:val="668"/>
        <w:numPr>
          <w:ilvl w:val="0"/>
          <w:numId w:val="0"/>
        </w:numPr>
        <w:pBdr/>
        <w:bidi w:val="false"/>
        <w:spacing/>
        <w:ind w:firstLine="0" w:left="720"/>
        <w:jc w:val="left"/>
        <w:rPr>
          <w:lang w:val="pt-PT"/>
        </w:rPr>
      </w:pPr>
      <w:r>
        <w:rPr>
          <w:lang w:val="pt-PT" w:bidi="pt-PT"/>
        </w:rPr>
      </w:r>
      <w:r>
        <w:rPr>
          <w:lang w:val="pt-PT"/>
        </w:rPr>
      </w:r>
    </w:p>
    <w:p>
      <w:pPr>
        <w:pStyle w:val="668"/>
        <w:numPr>
          <w:ilvl w:val="0"/>
          <w:numId w:val="1"/>
        </w:numPr>
        <w:pBdr/>
        <w:bidi w:val="false"/>
        <w:spacing/>
        <w:ind/>
        <w:jc w:val="left"/>
        <w:rPr>
          <w:lang w:val="pt-PT"/>
        </w:rPr>
      </w:pPr>
      <w:r>
        <w:rPr>
          <w:lang w:val="pt-PT"/>
        </w:rPr>
        <w:t xml:space="preserve">Vu, H. (2016). The Forgotten Assembly Programming Language. (</w:t>
      </w:r>
      <w:hyperlink r:id="rId13" w:tooltip="https://jsaer.com/download/vol-3-iss-1-2016/JSAER2016-03-01-17-20.pdf" w:history="1">
        <w:r>
          <w:rPr>
            <w:rStyle w:val="672"/>
            <w:lang w:val="pt-PT"/>
          </w:rPr>
          <w:t xml:space="preserve">https://jsaer.com/download/vol-3-iss-1-2016/JSAER2016-03-01-17-20.pdf</w:t>
        </w:r>
      </w:hyperlink>
      <w:r>
        <w:rPr>
          <w:lang w:val="pt-PT"/>
        </w:rPr>
        <w:t xml:space="preserve">)</w:t>
      </w:r>
      <w:r>
        <w:rPr>
          <w:lang w:val="pt-PT"/>
        </w:rPr>
      </w:r>
    </w:p>
    <w:p>
      <w:pPr>
        <w:pStyle w:val="668"/>
        <w:numPr>
          <w:ilvl w:val="0"/>
          <w:numId w:val="0"/>
        </w:numPr>
        <w:pBdr/>
        <w:bidi w:val="false"/>
        <w:spacing/>
        <w:ind w:firstLine="0" w:left="720"/>
        <w:jc w:val="left"/>
        <w:rPr>
          <w:lang w:val="pt-PT"/>
        </w:rPr>
      </w:pPr>
      <w:r>
        <w:rPr>
          <w:lang w:val="pt-PT" w:bidi="pt-PT"/>
        </w:rPr>
      </w:r>
      <w:r>
        <w:rPr>
          <w:lang w:val="pt-PT"/>
        </w:rPr>
      </w:r>
    </w:p>
    <w:p>
      <w:pPr>
        <w:pStyle w:val="668"/>
        <w:numPr>
          <w:ilvl w:val="0"/>
          <w:numId w:val="1"/>
        </w:numPr>
        <w:pBdr/>
        <w:bidi w:val="false"/>
        <w:spacing/>
        <w:ind/>
        <w:jc w:val="left"/>
        <w:rPr>
          <w:lang w:val="pt-PT"/>
        </w:rPr>
      </w:pPr>
      <w:r>
        <w:rPr>
          <w:lang w:val="pt-PT"/>
        </w:rPr>
        <w:t xml:space="preserve">Welsh, S., &amp; Knaggs, P. (n.d.). ARM Assembly Language Programming. University of Bournemouth. (</w:t>
      </w:r>
      <w:hyperlink r:id="rId14" w:tooltip="https://ic.unicamp.br/~celio/mc404-2012/ARMdocs/ARM_AssyLang.pdf" w:history="1">
        <w:r>
          <w:rPr>
            <w:rStyle w:val="672"/>
            <w:lang w:val="pt-PT"/>
          </w:rPr>
          <w:t xml:space="preserve">https://ic.unicamp.br/~celio/mc404-2012/ARMdocs/ARM_AssyLang.pdf</w:t>
        </w:r>
      </w:hyperlink>
      <w:r>
        <w:rPr>
          <w:lang w:val="pt-PT"/>
        </w:rPr>
        <w:t xml:space="preserve">)</w:t>
      </w:r>
      <w:r>
        <w:rPr>
          <w:lang w:val="pt-PT"/>
        </w:rPr>
      </w:r>
    </w:p>
    <w:p>
      <w:pPr>
        <w:pStyle w:val="668"/>
        <w:pBdr/>
        <w:bidi w:val="false"/>
        <w:spacing/>
        <w:ind/>
        <w:jc w:val="left"/>
        <w:rPr>
          <w:lang w:val="pt-PT"/>
        </w:rPr>
      </w:pPr>
      <w:r>
        <w:rPr>
          <w:lang w:val="pt-PT" w:bidi="pt-PT"/>
        </w:rPr>
      </w:r>
      <w:r>
        <w:rPr>
          <w:lang w:val="pt-PT"/>
        </w:rPr>
      </w:r>
    </w:p>
    <w:sectPr>
      <w:footnotePr/>
      <w:endnotePr/>
      <w:type w:val="nextPage"/>
      <w:pgSz w:h="16838" w:orient="portrait" w:w="11906"/>
      <w:pgMar w:top="1134" w:right="1134" w:bottom="1134" w:left="1134" w:header="0" w:footer="0"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Noto Sans CJK SC">
    <w:panose1 w:val="020B0500000000000000"/>
  </w:font>
  <w:font w:name="OpenSymbol">
    <w:panose1 w:val="05010000000000000000"/>
  </w:font>
  <w:font w:name="Arial">
    <w:panose1 w:val="020B0604020202020204"/>
  </w:font>
  <w:font w:name="Liberation Sans">
    <w:panose1 w:val="020B0604020202020204"/>
  </w:font>
  <w:font w:name="Noto Serif CJK SC">
    <w:panose1 w:val="02020400000000000000"/>
  </w:font>
  <w:font w:name="Noto Sans Devanagari">
    <w:panose1 w:val="020B0502040504020204"/>
  </w:font>
  <w:font w:name="Liberation Serif">
    <w:panose1 w:val="020206030504050203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tabs>
          <w:tab w:val="num" w:leader="none" w:pos="720"/>
        </w:tabs>
        <w:spacing/>
        <w:ind w:hanging="360" w:left="720"/>
      </w:pPr>
      <w:rPr>
        <w:rFonts w:hint="default" w:ascii="Symbol" w:hAnsi="Symbol" w:cs="Symbol"/>
      </w:rPr>
      <w:start w:val="1"/>
      <w:suff w:val="tab"/>
    </w:lvl>
    <w:lvl w:ilvl="1">
      <w:isLgl w:val="false"/>
      <w:lvlJc w:val="left"/>
      <w:lvlText w:val="◦"/>
      <w:numFmt w:val="bullet"/>
      <w:pPr>
        <w:pBdr/>
        <w:tabs>
          <w:tab w:val="num" w:leader="none" w:pos="1080"/>
        </w:tabs>
        <w:spacing/>
        <w:ind w:hanging="360" w:left="1080"/>
      </w:pPr>
      <w:rPr>
        <w:rFonts w:hint="default" w:ascii="OpenSymbol" w:hAnsi="OpenSymbol" w:cs="OpenSymbol"/>
      </w:rPr>
      <w:start w:val="1"/>
      <w:suff w:val="tab"/>
    </w:lvl>
    <w:lvl w:ilvl="2">
      <w:isLgl w:val="false"/>
      <w:lvlJc w:val="left"/>
      <w:lvlText w:val="▪"/>
      <w:numFmt w:val="bullet"/>
      <w:pPr>
        <w:pBdr/>
        <w:tabs>
          <w:tab w:val="num" w:leader="none" w:pos="1440"/>
        </w:tabs>
        <w:spacing/>
        <w:ind w:hanging="360" w:left="1440"/>
      </w:pPr>
      <w:rPr>
        <w:rFonts w:hint="default" w:ascii="OpenSymbol" w:hAnsi="OpenSymbol" w:cs="OpenSymbol"/>
      </w:rPr>
      <w:start w:val="1"/>
      <w:suff w:val="tab"/>
    </w:lvl>
    <w:lvl w:ilvl="3">
      <w:isLgl w:val="false"/>
      <w:lvlJc w:val="left"/>
      <w:lvlText w:val=""/>
      <w:numFmt w:val="bullet"/>
      <w:pPr>
        <w:pBdr/>
        <w:tabs>
          <w:tab w:val="num" w:leader="none" w:pos="1800"/>
        </w:tabs>
        <w:spacing/>
        <w:ind w:hanging="360" w:left="1800"/>
      </w:pPr>
      <w:rPr>
        <w:rFonts w:hint="default" w:ascii="Symbol" w:hAnsi="Symbol" w:cs="Symbol"/>
      </w:rPr>
      <w:start w:val="1"/>
      <w:suff w:val="tab"/>
    </w:lvl>
    <w:lvl w:ilvl="4">
      <w:isLgl w:val="false"/>
      <w:lvlJc w:val="left"/>
      <w:lvlText w:val="◦"/>
      <w:numFmt w:val="bullet"/>
      <w:pPr>
        <w:pBdr/>
        <w:tabs>
          <w:tab w:val="num" w:leader="none" w:pos="2160"/>
        </w:tabs>
        <w:spacing/>
        <w:ind w:hanging="360" w:left="2160"/>
      </w:pPr>
      <w:rPr>
        <w:rFonts w:hint="default" w:ascii="OpenSymbol" w:hAnsi="OpenSymbol" w:cs="OpenSymbol"/>
      </w:rPr>
      <w:start w:val="1"/>
      <w:suff w:val="tab"/>
    </w:lvl>
    <w:lvl w:ilvl="5">
      <w:isLgl w:val="false"/>
      <w:lvlJc w:val="left"/>
      <w:lvlText w:val="▪"/>
      <w:numFmt w:val="bullet"/>
      <w:pPr>
        <w:pBdr/>
        <w:tabs>
          <w:tab w:val="num" w:leader="none" w:pos="2520"/>
        </w:tabs>
        <w:spacing/>
        <w:ind w:hanging="360" w:left="2520"/>
      </w:pPr>
      <w:rPr>
        <w:rFonts w:hint="default" w:ascii="OpenSymbol" w:hAnsi="OpenSymbol" w:cs="OpenSymbol"/>
      </w:rPr>
      <w:start w:val="1"/>
      <w:suff w:val="tab"/>
    </w:lvl>
    <w:lvl w:ilvl="6">
      <w:isLgl w:val="false"/>
      <w:lvlJc w:val="left"/>
      <w:lvlText w:val=""/>
      <w:numFmt w:val="bullet"/>
      <w:pPr>
        <w:pBdr/>
        <w:tabs>
          <w:tab w:val="num" w:leader="none" w:pos="2880"/>
        </w:tabs>
        <w:spacing/>
        <w:ind w:hanging="360" w:left="2880"/>
      </w:pPr>
      <w:rPr>
        <w:rFonts w:hint="default" w:ascii="Symbol" w:hAnsi="Symbol" w:cs="Symbol"/>
      </w:rPr>
      <w:start w:val="1"/>
      <w:suff w:val="tab"/>
    </w:lvl>
    <w:lvl w:ilvl="7">
      <w:isLgl w:val="false"/>
      <w:lvlJc w:val="left"/>
      <w:lvlText w:val="◦"/>
      <w:numFmt w:val="bullet"/>
      <w:pPr>
        <w:pBdr/>
        <w:tabs>
          <w:tab w:val="num" w:leader="none" w:pos="3240"/>
        </w:tabs>
        <w:spacing/>
        <w:ind w:hanging="360" w:left="3240"/>
      </w:pPr>
      <w:rPr>
        <w:rFonts w:hint="default" w:ascii="OpenSymbol" w:hAnsi="OpenSymbol" w:cs="OpenSymbol"/>
      </w:rPr>
      <w:start w:val="1"/>
      <w:suff w:val="tab"/>
    </w:lvl>
    <w:lvl w:ilvl="8">
      <w:isLgl w:val="false"/>
      <w:lvlJc w:val="left"/>
      <w:lvlText w:val="▪"/>
      <w:numFmt w:val="bullet"/>
      <w:pPr>
        <w:pBdr/>
        <w:tabs>
          <w:tab w:val="num" w:leader="none" w:pos="3600"/>
        </w:tabs>
        <w:spacing/>
        <w:ind w:hanging="360" w:left="3600"/>
      </w:pPr>
      <w:rPr>
        <w:rFonts w:hint="default" w:ascii="OpenSymbol" w:hAnsi="OpenSymbol" w:cs="OpenSymbol"/>
      </w:rPr>
      <w:start w:val="1"/>
      <w:suff w:val="tab"/>
    </w:lvl>
  </w:abstractNum>
  <w:abstractNum w:abstractNumId="1">
    <w:lvl w:ilvl="0">
      <w:isLgl w:val="false"/>
      <w:lvlJc w:val="left"/>
      <w:lvlText w:val=""/>
      <w:numFmt w:val="none"/>
      <w:pPr>
        <w:pBdr/>
        <w:tabs>
          <w:tab w:val="num" w:leader="none" w:pos="0"/>
        </w:tabs>
        <w:spacing/>
        <w:ind w:firstLine="0" w:left="0"/>
      </w:pPr>
      <w:rPr/>
      <w:start w:val="1"/>
      <w:suff w:val="nothing"/>
    </w:lvl>
    <w:lvl w:ilvl="1">
      <w:isLgl w:val="false"/>
      <w:lvlJc w:val="left"/>
      <w:lvlText w:val=""/>
      <w:numFmt w:val="none"/>
      <w:pPr>
        <w:pBdr/>
        <w:tabs>
          <w:tab w:val="num" w:leader="none" w:pos="0"/>
        </w:tabs>
        <w:spacing/>
        <w:ind w:firstLine="0" w:left="0"/>
      </w:pPr>
      <w:rPr/>
      <w:start w:val="1"/>
      <w:suff w:val="nothing"/>
    </w:lvl>
    <w:lvl w:ilvl="2">
      <w:isLgl w:val="false"/>
      <w:lvlJc w:val="left"/>
      <w:lvlText w:val=""/>
      <w:numFmt w:val="none"/>
      <w:pPr>
        <w:pBdr/>
        <w:tabs>
          <w:tab w:val="num" w:leader="none" w:pos="0"/>
        </w:tabs>
        <w:spacing/>
        <w:ind w:firstLine="0" w:left="0"/>
      </w:pPr>
      <w:rPr/>
      <w:start w:val="1"/>
      <w:suff w:val="nothing"/>
    </w:lvl>
    <w:lvl w:ilvl="3">
      <w:isLgl w:val="false"/>
      <w:lvlJc w:val="left"/>
      <w:lvlText w:val=""/>
      <w:numFmt w:val="none"/>
      <w:pPr>
        <w:pBdr/>
        <w:tabs>
          <w:tab w:val="num" w:leader="none" w:pos="0"/>
        </w:tabs>
        <w:spacing/>
        <w:ind w:firstLine="0" w:left="0"/>
      </w:pPr>
      <w:rPr/>
      <w:start w:val="1"/>
      <w:suff w:val="nothing"/>
    </w:lvl>
    <w:lvl w:ilvl="4">
      <w:isLgl w:val="false"/>
      <w:lvlJc w:val="left"/>
      <w:lvlText w:val=""/>
      <w:numFmt w:val="none"/>
      <w:pPr>
        <w:pBdr/>
        <w:tabs>
          <w:tab w:val="num" w:leader="none" w:pos="0"/>
        </w:tabs>
        <w:spacing/>
        <w:ind w:firstLine="0" w:left="0"/>
      </w:pPr>
      <w:rPr/>
      <w:start w:val="1"/>
      <w:suff w:val="nothing"/>
    </w:lvl>
    <w:lvl w:ilvl="5">
      <w:isLgl w:val="false"/>
      <w:lvlJc w:val="left"/>
      <w:lvlText w:val=""/>
      <w:numFmt w:val="none"/>
      <w:pPr>
        <w:pBdr/>
        <w:tabs>
          <w:tab w:val="num" w:leader="none" w:pos="0"/>
        </w:tabs>
        <w:spacing/>
        <w:ind w:firstLine="0" w:left="0"/>
      </w:pPr>
      <w:rPr/>
      <w:start w:val="1"/>
      <w:suff w:val="nothing"/>
    </w:lvl>
    <w:lvl w:ilvl="6">
      <w:isLgl w:val="false"/>
      <w:lvlJc w:val="left"/>
      <w:lvlText w:val=""/>
      <w:numFmt w:val="none"/>
      <w:pPr>
        <w:pBdr/>
        <w:tabs>
          <w:tab w:val="num" w:leader="none" w:pos="0"/>
        </w:tabs>
        <w:spacing/>
        <w:ind w:firstLine="0" w:left="0"/>
      </w:pPr>
      <w:rPr/>
      <w:start w:val="1"/>
      <w:suff w:val="nothing"/>
    </w:lvl>
    <w:lvl w:ilvl="7">
      <w:isLgl w:val="false"/>
      <w:lvlJc w:val="left"/>
      <w:lvlText w:val=""/>
      <w:numFmt w:val="none"/>
      <w:pPr>
        <w:pBdr/>
        <w:tabs>
          <w:tab w:val="num" w:leader="none" w:pos="0"/>
        </w:tabs>
        <w:spacing/>
        <w:ind w:firstLine="0" w:left="0"/>
      </w:pPr>
      <w:rPr/>
      <w:start w:val="1"/>
      <w:suff w:val="nothing"/>
    </w:lvl>
    <w:lvl w:ilvl="8">
      <w:isLgl w:val="false"/>
      <w:lvlJc w:val="left"/>
      <w:lvlText w:val=""/>
      <w:numFmt w:val="none"/>
      <w:pPr>
        <w:pBdr/>
        <w:tabs>
          <w:tab w:val="num" w:leader="none" w:pos="0"/>
        </w:tabs>
        <w:spacing/>
        <w:ind w:firstLine="0" w:left="0"/>
      </w:pPr>
      <w:rPr/>
      <w:start w:val="1"/>
      <w:suff w:val="nothing"/>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autoHyphenation w:val="true"/>
  <w:hyphenationZone w:val="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Liberation Serif" w:hAnsi="Liberation Serif" w:eastAsia="Noto Serif CJK SC" w:cs="Noto Sans Devanagari"/>
        <w:sz w:val="24"/>
        <w:szCs w:val="24"/>
        <w:lang w:val="pt-PT" w:eastAsia="zh-CN" w:bidi="hi-IN"/>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3feba"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5febd"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cbf04"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43f03"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3feba" w:themeFill="accent1" w:themeFillTint="34"/>
    </w:tblPr>
    <w:tcPr>
      <w:tcBorders/>
    </w:tcPr>
    <w:tblStylePr w:type="band1Horz">
      <w:pPr>
        <w:pBdr/>
        <w:spacing/>
        <w:ind/>
      </w:pPr>
      <w:tblPr>
        <w:tblBorders/>
      </w:tblPr>
      <w:tcPr>
        <w:shd w:val="clear" w:color="ffffff" w:themeColor="accent1" w:themeTint="75" w:fill="78fc64" w:themeFill="accent1" w:themeFillTint="75"/>
        <w:tcBorders/>
      </w:tcPr>
    </w:tblStylePr>
    <w:tblStylePr w:type="band1Vert">
      <w:pPr>
        <w:pBdr/>
        <w:spacing/>
        <w:ind/>
      </w:pPr>
      <w:tblPr>
        <w:tblBorders/>
      </w:tblPr>
      <w:tcPr>
        <w:shd w:val="clear" w:color="ffffff" w:themeColor="accent1" w:themeTint="75" w:fill="78fc6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8a303" w:themeFill="accent1"/>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rFonts w:ascii="Arial" w:hAnsi="Arial"/>
        <w:b/>
        <w:color w:val="ffffff"/>
        <w:sz w:val="22"/>
      </w:rPr>
      <w:pPr>
        <w:pBdr/>
        <w:spacing/>
        <w:ind/>
      </w:pPr>
      <w:tblPr>
        <w:tblBorders/>
      </w:tblPr>
      <w:tcPr>
        <w:shd w:val="clear" w:color="ffffff" w:themeColor="accent1" w:fill="18a303" w:themeFill="accent1"/>
        <w:tcBorders/>
      </w:tcPr>
    </w:tblStylePr>
    <w:tblStylePr w:type="lastRow">
      <w:rPr>
        <w:rFonts w:ascii="Arial" w:hAnsi="Arial"/>
        <w:b/>
        <w:color w:val="ffffff"/>
        <w:sz w:val="22"/>
      </w:rPr>
      <w:pPr>
        <w:pBdr/>
        <w:spacing/>
        <w:ind/>
      </w:pPr>
      <w:tblPr>
        <w:tblBorders/>
      </w:tblPr>
      <w:tcPr>
        <w:shd w:val="clear" w:color="ffffff" w:themeColor="accent1" w:fill="18a303"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bde6fe" w:themeFill="accent2" w:themeFillTint="32"/>
    </w:tblPr>
    <w:tcPr>
      <w:tcBorders/>
    </w:tcPr>
    <w:tblStylePr w:type="band1Horz">
      <w:pPr>
        <w:pBdr/>
        <w:spacing/>
        <w:ind/>
      </w:pPr>
      <w:tblPr>
        <w:tblBorders/>
      </w:tblPr>
      <w:tcPr>
        <w:shd w:val="clear" w:color="ffffff" w:themeColor="accent2" w:themeTint="75" w:fill="64c5fc" w:themeFill="accent2" w:themeFillTint="75"/>
        <w:tcBorders/>
      </w:tcPr>
    </w:tblStylePr>
    <w:tblStylePr w:type="band1Vert">
      <w:pPr>
        <w:pBdr/>
        <w:spacing/>
        <w:ind/>
      </w:pPr>
      <w:tblPr>
        <w:tblBorders/>
      </w:tblPr>
      <w:tcPr>
        <w:shd w:val="clear" w:color="ffffff" w:themeColor="accent2" w:themeTint="75" w:fill="64c5fc"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0369a3" w:themeFill="accent2"/>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rFonts w:ascii="Arial" w:hAnsi="Arial"/>
        <w:b/>
        <w:color w:val="ffffff"/>
        <w:sz w:val="22"/>
      </w:rPr>
      <w:pPr>
        <w:pBdr/>
        <w:spacing/>
        <w:ind/>
      </w:pPr>
      <w:tblPr>
        <w:tblBorders/>
      </w:tblPr>
      <w:tcPr>
        <w:shd w:val="clear" w:color="ffffff" w:themeColor="accent2" w:fill="0369a3" w:themeFill="accent2"/>
        <w:tcBorders/>
      </w:tcPr>
    </w:tblStylePr>
    <w:tblStylePr w:type="lastRow">
      <w:rPr>
        <w:rFonts w:ascii="Arial" w:hAnsi="Arial"/>
        <w:b/>
        <w:color w:val="ffffff"/>
        <w:sz w:val="22"/>
      </w:rPr>
      <w:pPr>
        <w:pBdr/>
        <w:spacing/>
        <w:ind/>
      </w:pPr>
      <w:tblPr>
        <w:tblBorders/>
      </w:tblPr>
      <w:tcPr>
        <w:shd w:val="clear" w:color="ffffff" w:themeColor="accent2" w:fill="0369a3"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fed3ba" w:themeFill="accent3" w:themeFillTint="34"/>
    </w:tblPr>
    <w:tcPr>
      <w:tcBorders/>
    </w:tcPr>
    <w:tblStylePr w:type="band1Horz">
      <w:pPr>
        <w:pBdr/>
        <w:spacing/>
        <w:ind/>
      </w:pPr>
      <w:tblPr>
        <w:tblBorders/>
      </w:tblPr>
      <w:tcPr>
        <w:shd w:val="clear" w:color="ffffff" w:themeColor="accent3" w:themeTint="75" w:fill="fc9c64" w:themeFill="accent3" w:themeFillTint="75"/>
        <w:tcBorders/>
      </w:tcPr>
    </w:tblStylePr>
    <w:tblStylePr w:type="band1Vert">
      <w:pPr>
        <w:pBdr/>
        <w:spacing/>
        <w:ind/>
      </w:pPr>
      <w:tblPr>
        <w:tblBorders/>
      </w:tblPr>
      <w:tcPr>
        <w:shd w:val="clear" w:color="ffffff" w:themeColor="accent3" w:themeTint="75" w:fill="fc9c64"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33e03" w:themeFill="accent3"/>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rFonts w:ascii="Arial" w:hAnsi="Arial"/>
        <w:b/>
        <w:color w:val="ffffff"/>
        <w:sz w:val="22"/>
      </w:rPr>
      <w:pPr>
        <w:pBdr/>
        <w:spacing/>
        <w:ind/>
      </w:pPr>
      <w:tblPr>
        <w:tblBorders/>
      </w:tblPr>
      <w:tcPr>
        <w:shd w:val="clear" w:color="ffffff" w:themeColor="accent3" w:fill="a33e03" w:themeFill="accent3"/>
        <w:tcBorders/>
      </w:tcPr>
    </w:tblStylePr>
    <w:tblStylePr w:type="lastRow">
      <w:rPr>
        <w:rFonts w:ascii="Arial" w:hAnsi="Arial"/>
        <w:b/>
        <w:color w:val="ffffff"/>
        <w:sz w:val="22"/>
      </w:rPr>
      <w:pPr>
        <w:pBdr/>
        <w:spacing/>
        <w:ind/>
      </w:pPr>
      <w:tblPr>
        <w:tblBorders/>
      </w:tblPr>
      <w:tcPr>
        <w:shd w:val="clear" w:color="ffffff" w:themeColor="accent3" w:fill="a33e03"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5bafe" w:themeFill="accent4" w:themeFillTint="34"/>
    </w:tblPr>
    <w:tcPr>
      <w:tcBorders/>
    </w:tcPr>
    <w:tblStylePr w:type="band1Horz">
      <w:pPr>
        <w:pBdr/>
        <w:spacing/>
        <w:ind/>
      </w:pPr>
      <w:tblPr>
        <w:tblBorders/>
      </w:tblPr>
      <w:tcPr>
        <w:shd w:val="clear" w:color="ffffff" w:themeColor="accent4" w:themeTint="75" w:fill="e864fc" w:themeFill="accent4" w:themeFillTint="75"/>
        <w:tcBorders/>
      </w:tcPr>
    </w:tblStylePr>
    <w:tblStylePr w:type="band1Vert">
      <w:pPr>
        <w:pBdr/>
        <w:spacing/>
        <w:ind/>
      </w:pPr>
      <w:tblPr>
        <w:tblBorders/>
      </w:tblPr>
      <w:tcPr>
        <w:shd w:val="clear" w:color="ffffff" w:themeColor="accent4" w:themeTint="75" w:fill="e864fc"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e03a3" w:themeFill="accent4"/>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rFonts w:ascii="Arial" w:hAnsi="Arial"/>
        <w:b/>
        <w:color w:val="ffffff"/>
        <w:sz w:val="22"/>
      </w:rPr>
      <w:pPr>
        <w:pBdr/>
        <w:spacing/>
        <w:ind/>
      </w:pPr>
      <w:tblPr>
        <w:tblBorders/>
      </w:tblPr>
      <w:tcPr>
        <w:shd w:val="clear" w:color="ffffff" w:themeColor="accent4" w:fill="8e03a3" w:themeFill="accent4"/>
        <w:tcBorders/>
      </w:tcPr>
    </w:tblStylePr>
    <w:tblStylePr w:type="lastRow">
      <w:rPr>
        <w:rFonts w:ascii="Arial" w:hAnsi="Arial"/>
        <w:b/>
        <w:color w:val="ffffff"/>
        <w:sz w:val="22"/>
      </w:rPr>
      <w:pPr>
        <w:pBdr/>
        <w:spacing/>
        <w:ind/>
      </w:pPr>
      <w:tblPr>
        <w:tblBorders/>
      </w:tblPr>
      <w:tcPr>
        <w:shd w:val="clear" w:color="ffffff" w:themeColor="accent4" w:fill="8e03a3"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ff1c0" w:themeFill="accent5" w:themeFillTint="34"/>
    </w:tblPr>
    <w:tcPr>
      <w:tcBorders/>
    </w:tcPr>
    <w:tblStylePr w:type="band1Horz">
      <w:pPr>
        <w:pBdr/>
        <w:spacing/>
        <w:ind/>
      </w:pPr>
      <w:tblPr>
        <w:tblBorders/>
      </w:tblPr>
      <w:tcPr>
        <w:shd w:val="clear" w:color="ffffff" w:themeColor="accent5" w:themeTint="75" w:fill="ffdf71" w:themeFill="accent5" w:themeFillTint="75"/>
        <w:tcBorders/>
      </w:tcPr>
    </w:tblStylePr>
    <w:tblStylePr w:type="band1Vert">
      <w:pPr>
        <w:pBdr/>
        <w:spacing/>
        <w:ind/>
      </w:pPr>
      <w:tblPr>
        <w:tblBorders/>
      </w:tblPr>
      <w:tcPr>
        <w:shd w:val="clear" w:color="ffffff" w:themeColor="accent5" w:themeTint="75" w:fill="ffdf71"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c99c00" w:themeFill="accent5"/>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rFonts w:ascii="Arial" w:hAnsi="Arial"/>
        <w:b/>
        <w:color w:val="ffffff"/>
        <w:sz w:val="22"/>
      </w:rPr>
      <w:pPr>
        <w:pBdr/>
        <w:spacing/>
        <w:ind/>
      </w:pPr>
      <w:tblPr>
        <w:tblBorders/>
      </w:tblPr>
      <w:tcPr>
        <w:shd w:val="clear" w:color="ffffff" w:themeColor="accent5" w:fill="c99c00" w:themeFill="accent5"/>
        <w:tcBorders/>
      </w:tcPr>
    </w:tblStylePr>
    <w:tblStylePr w:type="lastRow">
      <w:rPr>
        <w:rFonts w:ascii="Arial" w:hAnsi="Arial"/>
        <w:b/>
        <w:color w:val="ffffff"/>
        <w:sz w:val="22"/>
      </w:rPr>
      <w:pPr>
        <w:pBdr/>
        <w:spacing/>
        <w:ind/>
      </w:pPr>
      <w:tblPr>
        <w:tblBorders/>
      </w:tblPr>
      <w:tcPr>
        <w:shd w:val="clear" w:color="ffffff" w:themeColor="accent5" w:fill="c99c00"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8cecd" w:themeFill="accent6" w:themeFillTint="34"/>
    </w:tblPr>
    <w:tcPr>
      <w:tcBorders/>
    </w:tcPr>
    <w:tblStylePr w:type="band1Horz">
      <w:pPr>
        <w:pBdr/>
        <w:spacing/>
        <w:ind/>
      </w:pPr>
      <w:tblPr>
        <w:tblBorders/>
      </w:tblPr>
      <w:tcPr>
        <w:shd w:val="clear" w:color="ffffff" w:themeColor="accent6" w:themeTint="75" w:fill="ee9190" w:themeFill="accent6" w:themeFillTint="75"/>
        <w:tcBorders/>
      </w:tcPr>
    </w:tblStylePr>
    <w:tblStylePr w:type="band1Vert">
      <w:pPr>
        <w:pBdr/>
        <w:spacing/>
        <w:ind/>
      </w:pPr>
      <w:tblPr>
        <w:tblBorders/>
      </w:tblPr>
      <w:tcPr>
        <w:shd w:val="clear" w:color="ffffff" w:themeColor="accent6" w:themeTint="75" w:fill="ee9190"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c9211e" w:themeFill="accent6"/>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rFonts w:ascii="Arial" w:hAnsi="Arial"/>
        <w:b/>
        <w:color w:val="ffffff"/>
        <w:sz w:val="22"/>
      </w:rPr>
      <w:pPr>
        <w:pBdr/>
        <w:spacing/>
        <w:ind/>
      </w:pPr>
      <w:tblPr>
        <w:tblBorders/>
      </w:tblPr>
      <w:tcPr>
        <w:shd w:val="clear" w:color="ffffff" w:themeColor="accent6" w:fill="c9211e" w:themeFill="accent6"/>
        <w:tcBorders/>
      </w:tcPr>
    </w:tblStylePr>
    <w:tblStylePr w:type="lastRow">
      <w:rPr>
        <w:rFonts w:ascii="Arial" w:hAnsi="Arial"/>
        <w:b/>
        <w:color w:val="ffffff"/>
        <w:sz w:val="22"/>
      </w:rPr>
      <w:pPr>
        <w:pBdr/>
        <w:spacing/>
        <w:ind/>
      </w:pPr>
      <w:tblPr>
        <w:tblBorders/>
      </w:tblPr>
      <w:tcPr>
        <w:shd w:val="clear" w:color="ffffff" w:themeColor="accent6" w:fill="c9211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cc204" w:themeColor="accent1" w:themeTint="80" w:themeShade="95"/>
      </w:rPr>
      <w:pPr>
        <w:pBdr/>
        <w:spacing/>
        <w:ind/>
      </w:pPr>
      <w:tblPr>
        <w:tblBorders/>
      </w:tblPr>
      <w:tcPr>
        <w:tcBorders/>
      </w:tcPr>
    </w:tblStylePr>
    <w:tblStylePr w:type="firstRow">
      <w:rPr>
        <w:b/>
        <w:color w:val="1cc204" w:themeColor="accent1" w:themeTint="80" w:themeShade="95"/>
      </w:rPr>
      <w:pPr>
        <w:pBdr/>
        <w:spacing/>
        <w:ind/>
      </w:pPr>
      <w:tblPr>
        <w:tblBorders/>
      </w:tblPr>
      <w:tcPr>
        <w:tcBorders>
          <w:bottom w:val="single" w:color="000000" w:themeColor="accent1" w:themeTint="80" w:sz="12" w:space="0"/>
        </w:tcBorders>
      </w:tcPr>
    </w:tblStylePr>
    <w:tblStylePr w:type="lastCol">
      <w:rPr>
        <w:b/>
        <w:color w:val="1cc204" w:themeColor="accent1" w:themeTint="80" w:themeShade="95"/>
      </w:rPr>
      <w:pPr>
        <w:pBdr/>
        <w:spacing/>
        <w:ind/>
      </w:pPr>
      <w:tblPr>
        <w:tblBorders/>
      </w:tblPr>
      <w:tcPr>
        <w:tcBorders/>
      </w:tcPr>
    </w:tblStylePr>
    <w:tblStylePr w:type="lastRow">
      <w:rPr>
        <w:b/>
        <w:color w:val="1cc204"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12"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2502" w:themeColor="accent3" w:themeTint="FE" w:themeShade="95"/>
      </w:rPr>
      <w:pPr>
        <w:pBdr/>
        <w:spacing/>
        <w:ind/>
      </w:pPr>
      <w:tblPr>
        <w:tblBorders/>
      </w:tblPr>
      <w:tcPr>
        <w:tcBorders/>
      </w:tcPr>
    </w:tblStylePr>
    <w:tblStylePr w:type="firstRow">
      <w:rPr>
        <w:b/>
        <w:color w:val="602502" w:themeColor="accent3" w:themeTint="FE" w:themeShade="95"/>
      </w:rPr>
      <w:pPr>
        <w:pBdr/>
        <w:spacing/>
        <w:ind/>
      </w:pPr>
      <w:tblPr>
        <w:tblBorders/>
      </w:tblPr>
      <w:tcPr>
        <w:tcBorders>
          <w:bottom w:val="single" w:color="000000" w:themeColor="accent3" w:themeTint="FE" w:sz="12" w:space="0"/>
        </w:tcBorders>
      </w:tcPr>
    </w:tblStylePr>
    <w:tblStylePr w:type="lastCol">
      <w:rPr>
        <w:b/>
        <w:color w:val="602502" w:themeColor="accent3" w:themeTint="FE" w:themeShade="95"/>
      </w:rPr>
      <w:pPr>
        <w:pBdr/>
        <w:spacing/>
        <w:ind/>
      </w:pPr>
      <w:tblPr>
        <w:tblBorders/>
      </w:tblPr>
      <w:tcPr>
        <w:tcBorders/>
      </w:tcPr>
    </w:tblStylePr>
    <w:tblStylePr w:type="lastRow">
      <w:rPr>
        <w:b/>
        <w:color w:val="602502"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12"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5"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5b00" w:themeColor="accent5" w:themeShade="95"/>
      </w:rPr>
      <w:pPr>
        <w:pBdr/>
        <w:spacing/>
        <w:ind/>
      </w:pPr>
      <w:tblPr>
        <w:tblBorders/>
      </w:tblPr>
      <w:tcPr>
        <w:tcBorders/>
      </w:tcPr>
    </w:tblStylePr>
    <w:tblStylePr w:type="firstRow">
      <w:rPr>
        <w:b/>
        <w:color w:val="755b00" w:themeColor="accent5" w:themeShade="95"/>
      </w:rPr>
      <w:pPr>
        <w:pBdr/>
        <w:spacing/>
        <w:ind/>
      </w:pPr>
      <w:tblPr>
        <w:tblBorders/>
      </w:tblPr>
      <w:tcPr>
        <w:tcBorders>
          <w:bottom w:val="single" w:color="000000" w:themeColor="accent6" w:sz="12" w:space="0"/>
        </w:tcBorders>
      </w:tcPr>
    </w:tblStylePr>
    <w:tblStylePr w:type="lastCol">
      <w:rPr>
        <w:b/>
        <w:color w:val="755b00" w:themeColor="accent5" w:themeShade="95"/>
      </w:rPr>
      <w:pPr>
        <w:pBdr/>
        <w:spacing/>
        <w:ind/>
      </w:pPr>
      <w:tblPr>
        <w:tblBorders/>
      </w:tblPr>
      <w:tcPr>
        <w:tcBorders/>
      </w:tcPr>
    </w:tblStylePr>
    <w:tblStylePr w:type="lastRow">
      <w:rPr>
        <w:b/>
        <w:color w:val="755b00"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cc204" w:themeColor="accent1" w:themeTint="80" w:themeShade="95"/>
        <w:sz w:val="22"/>
      </w:rPr>
      <w:pPr>
        <w:pBdr/>
        <w:spacing/>
        <w:ind/>
      </w:pPr>
      <w:tblPr>
        <w:tblBorders/>
      </w:tblPr>
      <w:tcPr>
        <w:shd w:val="clear" w:color="ffffff" w:themeColor="accent1" w:themeTint="34" w:fill="c3feba" w:themeFill="accent1" w:themeFillTint="34"/>
        <w:tcBorders/>
      </w:tcPr>
    </w:tblStylePr>
    <w:tblStylePr w:type="band1Vert">
      <w:pPr>
        <w:pBdr/>
        <w:spacing/>
        <w:ind/>
      </w:pPr>
      <w:tblPr>
        <w:tblBorders/>
      </w:tblPr>
      <w:tcPr>
        <w:shd w:val="clear" w:color="ffffff" w:themeColor="accent1" w:themeTint="34" w:fill="c3feba" w:themeFill="accent1" w:themeFillTint="34"/>
        <w:tcBorders/>
      </w:tcPr>
    </w:tblStylePr>
    <w:tblStylePr w:type="band2Horz">
      <w:rPr>
        <w:rFonts w:ascii="Arial" w:hAnsi="Arial"/>
        <w:color w:val="1cc204"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cc204"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cc204"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cc204"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32" w:fill="bde6fe" w:themeFill="accent2" w:themeFillTint="32"/>
        <w:tcBorders/>
      </w:tcPr>
    </w:tblStylePr>
    <w:tblStylePr w:type="band1Vert">
      <w:pPr>
        <w:pBdr/>
        <w:spacing/>
        <w:ind/>
      </w:pPr>
      <w:tblPr>
        <w:tblBorders/>
      </w:tblPr>
      <w:tcPr>
        <w:shd w:val="clear" w:color="ffffff" w:themeColor="accent2" w:themeTint="32" w:fill="bde6fe" w:themeFill="accent2" w:themeFillTint="32"/>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0371b0"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2502" w:themeColor="accent3" w:themeTint="FE" w:themeShade="95"/>
        <w:sz w:val="22"/>
      </w:rPr>
      <w:pPr>
        <w:pBdr/>
        <w:spacing/>
        <w:ind/>
      </w:pPr>
      <w:tblPr>
        <w:tblBorders/>
      </w:tblPr>
      <w:tcPr>
        <w:shd w:val="clear" w:color="ffffff" w:themeColor="accent3" w:themeTint="34" w:fill="fed3ba" w:themeFill="accent3" w:themeFillTint="34"/>
        <w:tcBorders/>
      </w:tcPr>
    </w:tblStylePr>
    <w:tblStylePr w:type="band1Vert">
      <w:pPr>
        <w:pBdr/>
        <w:spacing/>
        <w:ind/>
      </w:pPr>
      <w:tblPr>
        <w:tblBorders/>
      </w:tblPr>
      <w:tcPr>
        <w:shd w:val="clear" w:color="ffffff" w:themeColor="accent3" w:themeTint="34" w:fill="fed3ba" w:themeFill="accent3" w:themeFillTint="34"/>
        <w:tcBorders/>
      </w:tcPr>
    </w:tblStylePr>
    <w:tblStylePr w:type="band2Horz">
      <w:rPr>
        <w:rFonts w:ascii="Arial" w:hAnsi="Arial"/>
        <w:color w:val="602502"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2502"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02502"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02502"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34" w:fill="f5bafe" w:themeFill="accent4" w:themeFillTint="34"/>
        <w:tcBorders/>
      </w:tcPr>
    </w:tblStylePr>
    <w:tblStylePr w:type="band1Vert">
      <w:pPr>
        <w:pBdr/>
        <w:spacing/>
        <w:ind/>
      </w:pPr>
      <w:tblPr>
        <w:tblBorders/>
      </w:tblPr>
      <w:tcPr>
        <w:shd w:val="clear" w:color="ffffff" w:themeColor="accent4" w:themeTint="34" w:fill="f5bafe" w:themeFill="accent4" w:themeFillTint="34"/>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9703ad"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755b00" w:themeColor="accent5" w:themeShade="95"/>
        <w:sz w:val="22"/>
      </w:rPr>
      <w:pPr>
        <w:pBdr/>
        <w:spacing/>
        <w:ind/>
      </w:pPr>
      <w:tblPr>
        <w:tblBorders/>
      </w:tblPr>
      <w:tcPr>
        <w:shd w:val="clear" w:color="ffffff" w:themeColor="accent5" w:themeTint="34" w:fill="fff1c0" w:themeFill="accent5" w:themeFillTint="34"/>
        <w:tcBorders/>
      </w:tcPr>
    </w:tblStylePr>
    <w:tblStylePr w:type="band1Vert">
      <w:pPr>
        <w:pBdr/>
        <w:spacing/>
        <w:ind/>
      </w:pPr>
      <w:tblPr>
        <w:tblBorders/>
      </w:tblPr>
      <w:tcPr>
        <w:shd w:val="clear" w:color="ffffff" w:themeColor="accent5" w:themeTint="34" w:fill="fff1c0" w:themeFill="accent5" w:themeFillTint="34"/>
        <w:tcBorders/>
      </w:tcPr>
    </w:tblStylePr>
    <w:tblStylePr w:type="band2Horz">
      <w:rPr>
        <w:rFonts w:ascii="Arial" w:hAnsi="Arial"/>
        <w:color w:val="755b0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5b00"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755b00"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755b00"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755b00"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751312" w:themeColor="accent6" w:themeShade="95"/>
        <w:sz w:val="22"/>
      </w:rPr>
      <w:pPr>
        <w:pBdr/>
        <w:spacing/>
        <w:ind/>
      </w:pPr>
      <w:tblPr>
        <w:tblBorders/>
      </w:tblPr>
      <w:tcPr>
        <w:shd w:val="clear" w:color="ffffff" w:themeColor="accent6" w:themeTint="34" w:fill="f8cecd" w:themeFill="accent6" w:themeFillTint="34"/>
        <w:tcBorders/>
      </w:tcPr>
    </w:tblStylePr>
    <w:tblStylePr w:type="band1Vert">
      <w:pPr>
        <w:pBdr/>
        <w:spacing/>
        <w:ind/>
      </w:pPr>
      <w:tblPr>
        <w:tblBorders/>
      </w:tblPr>
      <w:tcPr>
        <w:shd w:val="clear" w:color="ffffff" w:themeColor="accent6" w:themeTint="34" w:fill="f8cecd" w:themeFill="accent6" w:themeFillTint="34"/>
        <w:tcBorders/>
      </w:tcPr>
    </w:tblStylePr>
    <w:tblStylePr w:type="band2Horz">
      <w:rPr>
        <w:rFonts w:ascii="Arial" w:hAnsi="Arial"/>
        <w:color w:val="751312"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1312"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751312"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751312"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751312"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37b4fb"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fb7f36"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e133fb"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ffd544"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e9706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5fdaa"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8a303"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aadffd"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0369a3"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fdc9a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33e03"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3aafd"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e03a3"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ffeeb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c99c00"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6c3c2"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c9211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8a303" w:themeFill="accent1"/>
    </w:tblPr>
    <w:tcPr>
      <w:tcBorders/>
    </w:tcPr>
    <w:tblStylePr w:type="band1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8a303"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8a303"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8a303"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37b4fb" w:themeFill="accent2" w:themeFillTint="97"/>
    </w:tblPr>
    <w:tcPr>
      <w:tcBorders/>
    </w:tcPr>
    <w:tblStylePr w:type="band1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37b4fb"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37b4fb"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37b4fb"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fb7f36" w:themeFill="accent3" w:themeFillTint="98"/>
    </w:tblPr>
    <w:tcPr>
      <w:tcBorders/>
    </w:tcPr>
    <w:tblStylePr w:type="band1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fb7f36"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fb7f36"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fb7f36"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e133fb" w:themeFill="accent4" w:themeFillTint="9A"/>
    </w:tblPr>
    <w:tcPr>
      <w:tcBorders/>
    </w:tcPr>
    <w:tblStylePr w:type="band1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e133fb"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e133fb"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e133fb"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ffd544" w:themeFill="accent5" w:themeFillTint="9A"/>
    </w:tblPr>
    <w:tcPr>
      <w:tcBorders/>
    </w:tcPr>
    <w:tblStylePr w:type="band1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ffd544"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ffd544"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ffd544"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e9706e" w:themeFill="accent6" w:themeFillTint="98"/>
    </w:tblPr>
    <w:tcPr>
      <w:tcBorders/>
    </w:tcPr>
    <w:tblStylePr w:type="band1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e9706e"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e9706e"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e9706e"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e5f02" w:themeColor="accent1" w:themeShade="95"/>
      </w:rPr>
      <w:pPr>
        <w:pBdr/>
        <w:spacing/>
        <w:ind/>
      </w:pPr>
      <w:tblPr>
        <w:tblBorders/>
      </w:tblPr>
      <w:tcPr>
        <w:tcBorders/>
      </w:tcPr>
    </w:tblStylePr>
    <w:tblStylePr w:type="firstRow">
      <w:rPr>
        <w:b/>
        <w:color w:val="0e5f02" w:themeColor="accent1" w:themeShade="95"/>
      </w:rPr>
      <w:pPr>
        <w:pBdr/>
        <w:spacing/>
        <w:ind/>
      </w:pPr>
      <w:tblPr>
        <w:tblBorders/>
      </w:tblPr>
      <w:tcPr>
        <w:tcBorders>
          <w:bottom w:val="single" w:color="000000" w:themeColor="accent1" w:sz="4" w:space="0"/>
        </w:tcBorders>
      </w:tcPr>
    </w:tblStylePr>
    <w:tblStylePr w:type="lastCol">
      <w:rPr>
        <w:b/>
        <w:color w:val="0e5f02" w:themeColor="accent1" w:themeShade="95"/>
      </w:rPr>
      <w:pPr>
        <w:pBdr/>
        <w:spacing/>
        <w:ind/>
      </w:pPr>
      <w:tblPr>
        <w:tblBorders/>
      </w:tblPr>
      <w:tcPr>
        <w:tcBorders/>
      </w:tcPr>
    </w:tblStylePr>
    <w:tblStylePr w:type="lastRow">
      <w:rPr>
        <w:b/>
        <w:color w:val="0e5f0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371b0" w:themeColor="accent2" w:themeTint="97" w:themeShade="95"/>
      </w:rPr>
      <w:pPr>
        <w:pBdr/>
        <w:spacing/>
        <w:ind/>
      </w:pPr>
      <w:tblPr>
        <w:tblBorders/>
      </w:tblPr>
      <w:tcPr>
        <w:tcBorders/>
      </w:tcPr>
    </w:tblStylePr>
    <w:tblStylePr w:type="firstRow">
      <w:rPr>
        <w:b/>
        <w:color w:val="0371b0" w:themeColor="accent2" w:themeTint="97" w:themeShade="95"/>
      </w:rPr>
      <w:pPr>
        <w:pBdr/>
        <w:spacing/>
        <w:ind/>
      </w:pPr>
      <w:tblPr>
        <w:tblBorders/>
      </w:tblPr>
      <w:tcPr>
        <w:tcBorders>
          <w:bottom w:val="single" w:color="000000" w:themeColor="accent2" w:themeTint="97" w:sz="4" w:space="0"/>
        </w:tcBorders>
      </w:tcPr>
    </w:tblStylePr>
    <w:tblStylePr w:type="lastCol">
      <w:rPr>
        <w:b/>
        <w:color w:val="0371b0" w:themeColor="accent2" w:themeTint="97" w:themeShade="95"/>
      </w:rPr>
      <w:pPr>
        <w:pBdr/>
        <w:spacing/>
        <w:ind/>
      </w:pPr>
      <w:tblPr>
        <w:tblBorders/>
      </w:tblPr>
      <w:tcPr>
        <w:tcBorders/>
      </w:tcPr>
    </w:tblStylePr>
    <w:tblStylePr w:type="lastRow">
      <w:rPr>
        <w:b/>
        <w:color w:val="0371b0"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4303" w:themeColor="accent3" w:themeTint="98" w:themeShade="95"/>
      </w:rPr>
      <w:pPr>
        <w:pBdr/>
        <w:spacing/>
        <w:ind/>
      </w:pPr>
      <w:tblPr>
        <w:tblBorders/>
      </w:tblPr>
      <w:tcPr>
        <w:tcBorders/>
      </w:tcPr>
    </w:tblStylePr>
    <w:tblStylePr w:type="firstRow">
      <w:rPr>
        <w:b/>
        <w:color w:val="af4303" w:themeColor="accent3" w:themeTint="98" w:themeShade="95"/>
      </w:rPr>
      <w:pPr>
        <w:pBdr/>
        <w:spacing/>
        <w:ind/>
      </w:pPr>
      <w:tblPr>
        <w:tblBorders/>
      </w:tblPr>
      <w:tcPr>
        <w:tcBorders>
          <w:bottom w:val="single" w:color="000000" w:themeColor="accent3" w:themeTint="98" w:sz="4" w:space="0"/>
        </w:tcBorders>
      </w:tcPr>
    </w:tblStylePr>
    <w:tblStylePr w:type="lastCol">
      <w:rPr>
        <w:b/>
        <w:color w:val="af4303" w:themeColor="accent3" w:themeTint="98" w:themeShade="95"/>
      </w:rPr>
      <w:pPr>
        <w:pBdr/>
        <w:spacing/>
        <w:ind/>
      </w:pPr>
      <w:tblPr>
        <w:tblBorders/>
      </w:tblPr>
      <w:tcPr>
        <w:tcBorders/>
      </w:tcPr>
    </w:tblStylePr>
    <w:tblStylePr w:type="lastRow">
      <w:rPr>
        <w:b/>
        <w:color w:val="af4303"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703ad" w:themeColor="accent4" w:themeTint="9A" w:themeShade="95"/>
      </w:rPr>
      <w:pPr>
        <w:pBdr/>
        <w:spacing/>
        <w:ind/>
      </w:pPr>
      <w:tblPr>
        <w:tblBorders/>
      </w:tblPr>
      <w:tcPr>
        <w:tcBorders/>
      </w:tcPr>
    </w:tblStylePr>
    <w:tblStylePr w:type="firstRow">
      <w:rPr>
        <w:b/>
        <w:color w:val="9703ad" w:themeColor="accent4" w:themeTint="9A" w:themeShade="95"/>
      </w:rPr>
      <w:pPr>
        <w:pBdr/>
        <w:spacing/>
        <w:ind/>
      </w:pPr>
      <w:tblPr>
        <w:tblBorders/>
      </w:tblPr>
      <w:tcPr>
        <w:tcBorders>
          <w:bottom w:val="single" w:color="000000" w:themeColor="accent4" w:themeTint="9A" w:sz="4" w:space="0"/>
        </w:tcBorders>
      </w:tcPr>
    </w:tblStylePr>
    <w:tblStylePr w:type="lastCol">
      <w:rPr>
        <w:b/>
        <w:color w:val="9703ad" w:themeColor="accent4" w:themeTint="9A" w:themeShade="95"/>
      </w:rPr>
      <w:pPr>
        <w:pBdr/>
        <w:spacing/>
        <w:ind/>
      </w:pPr>
      <w:tblPr>
        <w:tblBorders/>
      </w:tblPr>
      <w:tcPr>
        <w:tcBorders/>
      </w:tcPr>
    </w:tblStylePr>
    <w:tblStylePr w:type="lastRow">
      <w:rPr>
        <w:b/>
        <w:color w:val="9703ad"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d9300" w:themeColor="accent5" w:themeTint="9A" w:themeShade="95"/>
      </w:rPr>
      <w:pPr>
        <w:pBdr/>
        <w:spacing/>
        <w:ind/>
      </w:pPr>
      <w:tblPr>
        <w:tblBorders/>
      </w:tblPr>
      <w:tcPr>
        <w:tcBorders/>
      </w:tcPr>
    </w:tblStylePr>
    <w:tblStylePr w:type="firstRow">
      <w:rPr>
        <w:b/>
        <w:color w:val="bd9300" w:themeColor="accent5" w:themeTint="9A" w:themeShade="95"/>
      </w:rPr>
      <w:pPr>
        <w:pBdr/>
        <w:spacing/>
        <w:ind/>
      </w:pPr>
      <w:tblPr>
        <w:tblBorders/>
      </w:tblPr>
      <w:tcPr>
        <w:tcBorders>
          <w:bottom w:val="single" w:color="000000" w:themeColor="accent5" w:themeTint="9A" w:sz="4" w:space="0"/>
        </w:tcBorders>
      </w:tcPr>
    </w:tblStylePr>
    <w:tblStylePr w:type="lastCol">
      <w:rPr>
        <w:b/>
        <w:color w:val="bd9300" w:themeColor="accent5" w:themeTint="9A" w:themeShade="95"/>
      </w:rPr>
      <w:pPr>
        <w:pBdr/>
        <w:spacing/>
        <w:ind/>
      </w:pPr>
      <w:tblPr>
        <w:tblBorders/>
      </w:tblPr>
      <w:tcPr>
        <w:tcBorders/>
      </w:tcPr>
    </w:tblStylePr>
    <w:tblStylePr w:type="lastRow">
      <w:rPr>
        <w:b/>
        <w:color w:val="bd930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f1d1a" w:themeColor="accent6" w:themeTint="98" w:themeShade="95"/>
      </w:rPr>
      <w:pPr>
        <w:pBdr/>
        <w:spacing/>
        <w:ind/>
      </w:pPr>
      <w:tblPr>
        <w:tblBorders/>
      </w:tblPr>
      <w:tcPr>
        <w:tcBorders/>
      </w:tcPr>
    </w:tblStylePr>
    <w:tblStylePr w:type="firstRow">
      <w:rPr>
        <w:b/>
        <w:color w:val="af1d1a" w:themeColor="accent6" w:themeTint="98" w:themeShade="95"/>
      </w:rPr>
      <w:pPr>
        <w:pBdr/>
        <w:spacing/>
        <w:ind/>
      </w:pPr>
      <w:tblPr>
        <w:tblBorders/>
      </w:tblPr>
      <w:tcPr>
        <w:tcBorders>
          <w:bottom w:val="single" w:color="000000" w:themeColor="accent6" w:themeTint="98" w:sz="4" w:space="0"/>
        </w:tcBorders>
      </w:tcPr>
    </w:tblStylePr>
    <w:tblStylePr w:type="lastCol">
      <w:rPr>
        <w:b/>
        <w:color w:val="af1d1a" w:themeColor="accent6" w:themeTint="98" w:themeShade="95"/>
      </w:rPr>
      <w:pPr>
        <w:pBdr/>
        <w:spacing/>
        <w:ind/>
      </w:pPr>
      <w:tblPr>
        <w:tblBorders/>
      </w:tblPr>
      <w:tcPr>
        <w:tcBorders/>
      </w:tcPr>
    </w:tblStylePr>
    <w:tblStylePr w:type="lastRow">
      <w:rPr>
        <w:b/>
        <w:color w:val="af1d1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e5f02" w:themeColor="accent1" w:themeShade="95"/>
        <w:sz w:val="22"/>
      </w:rPr>
      <w:pPr>
        <w:pBdr/>
        <w:spacing/>
        <w:ind/>
      </w:pPr>
      <w:tblPr>
        <w:tblBorders/>
      </w:tblPr>
      <w:tcPr>
        <w:shd w:val="clear" w:color="ffffff" w:themeColor="accent1" w:themeTint="40" w:fill="b5fdaa" w:themeFill="accent1" w:themeFillTint="40"/>
        <w:tcBorders/>
      </w:tcPr>
    </w:tblStylePr>
    <w:tblStylePr w:type="band1Vert">
      <w:pPr>
        <w:pBdr/>
        <w:spacing/>
        <w:ind/>
      </w:pPr>
      <w:tblPr>
        <w:tblBorders/>
      </w:tblPr>
      <w:tcPr>
        <w:shd w:val="clear" w:color="ffffff" w:themeColor="accent1" w:themeTint="40" w:fill="b5fdaa" w:themeFill="accent1" w:themeFillTint="40"/>
        <w:tcBorders/>
      </w:tcPr>
    </w:tblStylePr>
    <w:tblStylePr w:type="band2Horz">
      <w:rPr>
        <w:rFonts w:ascii="Arial" w:hAnsi="Arial"/>
        <w:color w:val="0e5f0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e5f0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e5f0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e5f0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e5f0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e5f0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0371b0" w:themeColor="accent2" w:themeTint="97" w:themeShade="95"/>
        <w:sz w:val="22"/>
      </w:rPr>
      <w:pPr>
        <w:pBdr/>
        <w:spacing/>
        <w:ind/>
      </w:pPr>
      <w:tblPr>
        <w:tblBorders/>
      </w:tblPr>
      <w:tcPr>
        <w:shd w:val="clear" w:color="ffffff" w:themeColor="accent2" w:themeTint="40" w:fill="aadffd" w:themeFill="accent2" w:themeFillTint="40"/>
        <w:tcBorders/>
      </w:tcPr>
    </w:tblStylePr>
    <w:tblStylePr w:type="band1Vert">
      <w:pPr>
        <w:pBdr/>
        <w:spacing/>
        <w:ind/>
      </w:pPr>
      <w:tblPr>
        <w:tblBorders/>
      </w:tblPr>
      <w:tcPr>
        <w:shd w:val="clear" w:color="ffffff" w:themeColor="accent2" w:themeTint="40" w:fill="aadffd" w:themeFill="accent2" w:themeFillTint="40"/>
        <w:tcBorders/>
      </w:tcPr>
    </w:tblStylePr>
    <w:tblStylePr w:type="band2Horz">
      <w:rPr>
        <w:rFonts w:ascii="Arial" w:hAnsi="Arial"/>
        <w:color w:val="0371b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371b0"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0371b0"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0371b0"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371b0"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af4303" w:themeColor="accent3" w:themeTint="98" w:themeShade="95"/>
        <w:sz w:val="22"/>
      </w:rPr>
      <w:pPr>
        <w:pBdr/>
        <w:spacing/>
        <w:ind/>
      </w:pPr>
      <w:tblPr>
        <w:tblBorders/>
      </w:tblPr>
      <w:tcPr>
        <w:shd w:val="clear" w:color="ffffff" w:themeColor="accent3" w:themeTint="40" w:fill="fdc9aa" w:themeFill="accent3" w:themeFillTint="40"/>
        <w:tcBorders/>
      </w:tcPr>
    </w:tblStylePr>
    <w:tblStylePr w:type="band1Vert">
      <w:pPr>
        <w:pBdr/>
        <w:spacing/>
        <w:ind/>
      </w:pPr>
      <w:tblPr>
        <w:tblBorders/>
      </w:tblPr>
      <w:tcPr>
        <w:shd w:val="clear" w:color="ffffff" w:themeColor="accent3" w:themeTint="40" w:fill="fdc9aa" w:themeFill="accent3" w:themeFillTint="40"/>
        <w:tcBorders/>
      </w:tcPr>
    </w:tblStylePr>
    <w:tblStylePr w:type="band2Horz">
      <w:rPr>
        <w:rFonts w:ascii="Arial" w:hAnsi="Arial"/>
        <w:color w:val="af4303"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4303"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af4303"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af4303"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4303"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9703ad" w:themeColor="accent4" w:themeTint="9A" w:themeShade="95"/>
        <w:sz w:val="22"/>
      </w:rPr>
      <w:pPr>
        <w:pBdr/>
        <w:spacing/>
        <w:ind/>
      </w:pPr>
      <w:tblPr>
        <w:tblBorders/>
      </w:tblPr>
      <w:tcPr>
        <w:shd w:val="clear" w:color="ffffff" w:themeColor="accent4" w:themeTint="40" w:fill="f3aafd" w:themeFill="accent4" w:themeFillTint="40"/>
        <w:tcBorders/>
      </w:tcPr>
    </w:tblStylePr>
    <w:tblStylePr w:type="band1Vert">
      <w:pPr>
        <w:pBdr/>
        <w:spacing/>
        <w:ind/>
      </w:pPr>
      <w:tblPr>
        <w:tblBorders/>
      </w:tblPr>
      <w:tcPr>
        <w:shd w:val="clear" w:color="ffffff" w:themeColor="accent4" w:themeTint="40" w:fill="f3aafd" w:themeFill="accent4" w:themeFillTint="40"/>
        <w:tcBorders/>
      </w:tcPr>
    </w:tblStylePr>
    <w:tblStylePr w:type="band2Horz">
      <w:rPr>
        <w:rFonts w:ascii="Arial" w:hAnsi="Arial"/>
        <w:color w:val="9703ad"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703ad"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9703ad"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9703ad"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703ad"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bd9300" w:themeColor="accent5" w:themeTint="9A" w:themeShade="95"/>
        <w:sz w:val="22"/>
      </w:rPr>
      <w:pPr>
        <w:pBdr/>
        <w:spacing/>
        <w:ind/>
      </w:pPr>
      <w:tblPr>
        <w:tblBorders/>
      </w:tblPr>
      <w:tcPr>
        <w:shd w:val="clear" w:color="ffffff" w:themeColor="accent5" w:themeTint="40" w:fill="ffeeb1" w:themeFill="accent5" w:themeFillTint="40"/>
        <w:tcBorders/>
      </w:tcPr>
    </w:tblStylePr>
    <w:tblStylePr w:type="band1Vert">
      <w:pPr>
        <w:pBdr/>
        <w:spacing/>
        <w:ind/>
      </w:pPr>
      <w:tblPr>
        <w:tblBorders/>
      </w:tblPr>
      <w:tcPr>
        <w:shd w:val="clear" w:color="ffffff" w:themeColor="accent5" w:themeTint="40" w:fill="ffeeb1" w:themeFill="accent5" w:themeFillTint="40"/>
        <w:tcBorders/>
      </w:tcPr>
    </w:tblStylePr>
    <w:tblStylePr w:type="band2Horz">
      <w:rPr>
        <w:rFonts w:ascii="Arial" w:hAnsi="Arial"/>
        <w:color w:val="bd930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d9300"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bd9300"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bd930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bd9300"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af1d1a" w:themeColor="accent6" w:themeTint="98" w:themeShade="95"/>
        <w:sz w:val="22"/>
      </w:rPr>
      <w:pPr>
        <w:pBdr/>
        <w:spacing/>
        <w:ind/>
      </w:pPr>
      <w:tblPr>
        <w:tblBorders/>
      </w:tblPr>
      <w:tcPr>
        <w:shd w:val="clear" w:color="ffffff" w:themeColor="accent6" w:themeTint="40" w:fill="f6c3c2" w:themeFill="accent6" w:themeFillTint="40"/>
        <w:tcBorders/>
      </w:tcPr>
    </w:tblStylePr>
    <w:tblStylePr w:type="band1Vert">
      <w:pPr>
        <w:pBdr/>
        <w:spacing/>
        <w:ind/>
      </w:pPr>
      <w:tblPr>
        <w:tblBorders/>
      </w:tblPr>
      <w:tcPr>
        <w:shd w:val="clear" w:color="ffffff" w:themeColor="accent6" w:themeTint="40" w:fill="f6c3c2" w:themeFill="accent6" w:themeFillTint="40"/>
        <w:tcBorders/>
      </w:tcPr>
    </w:tblStylePr>
    <w:tblStylePr w:type="band2Horz">
      <w:rPr>
        <w:rFonts w:ascii="Arial" w:hAnsi="Arial"/>
        <w:color w:val="af1d1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f1d1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af1d1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af1d1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af1d1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a3fd95"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cbf04"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bde6fe"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37b4fb"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fed3ba"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43f03"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5bafe"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e133fb"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ff1c0" w:themeFill="accent5" w:themeFillTint="34"/>
        <w:tcBorders/>
      </w:tcPr>
    </w:tblStylePr>
    <w:tblStylePr w:type="firstCol">
      <w:rPr>
        <w:rFonts w:ascii="Arial" w:hAnsi="Arial"/>
        <w:color w:val="f2f2f2"/>
        <w:sz w:val="22"/>
      </w:rPr>
      <w:pPr>
        <w:pBdr/>
        <w:spacing/>
        <w:ind/>
      </w:pPr>
      <w:tblPr>
        <w:tblBorders/>
      </w:tblPr>
      <w:tcPr>
        <w:shd w:val="clear" w:color="ffffff" w:themeColor="accent5" w:fill="c99c00" w:themeFill="accent5"/>
        <w:tcBorders/>
      </w:tcPr>
    </w:tblStylePr>
    <w:tblStylePr w:type="firstRow">
      <w:rPr>
        <w:rFonts w:ascii="Arial" w:hAnsi="Arial"/>
        <w:color w:val="f2f2f2"/>
        <w:sz w:val="22"/>
      </w:rPr>
      <w:pPr>
        <w:pBdr/>
        <w:spacing/>
        <w:ind/>
      </w:pPr>
      <w:tblPr>
        <w:tblBorders/>
      </w:tblPr>
      <w:tcPr>
        <w:shd w:val="clear" w:color="ffffff" w:themeColor="accent5" w:fill="c99c00" w:themeFill="accent5"/>
        <w:tcBorders/>
      </w:tcPr>
    </w:tblStylePr>
    <w:tblStylePr w:type="lastCol">
      <w:rPr>
        <w:rFonts w:ascii="Arial" w:hAnsi="Arial"/>
        <w:color w:val="f2f2f2"/>
        <w:sz w:val="22"/>
      </w:rPr>
      <w:pPr>
        <w:pBdr/>
        <w:spacing/>
        <w:ind/>
      </w:pPr>
      <w:tblPr>
        <w:tblBorders/>
      </w:tblPr>
      <w:tcPr>
        <w:shd w:val="clear" w:color="ffffff" w:themeColor="accent5" w:fill="c99c00" w:themeFill="accent5"/>
        <w:tcBorders/>
      </w:tcPr>
    </w:tblStylePr>
    <w:tblStylePr w:type="lastRow">
      <w:rPr>
        <w:rFonts w:ascii="Arial" w:hAnsi="Arial"/>
        <w:color w:val="f2f2f2"/>
        <w:sz w:val="22"/>
      </w:rPr>
      <w:pPr>
        <w:pBdr/>
        <w:spacing/>
        <w:ind/>
      </w:pPr>
      <w:tblPr>
        <w:tblBorders/>
      </w:tblPr>
      <w:tcPr>
        <w:shd w:val="clear" w:color="ffffff" w:themeColor="accent5" w:fill="c99c00"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8cecd" w:themeFill="accent6" w:themeFillTint="34"/>
        <w:tcBorders/>
      </w:tcPr>
    </w:tblStylePr>
    <w:tblStylePr w:type="firstCol">
      <w:rPr>
        <w:rFonts w:ascii="Arial" w:hAnsi="Arial"/>
        <w:color w:val="f2f2f2"/>
        <w:sz w:val="22"/>
      </w:rPr>
      <w:pPr>
        <w:pBdr/>
        <w:spacing/>
        <w:ind/>
      </w:pPr>
      <w:tblPr>
        <w:tblBorders/>
      </w:tblPr>
      <w:tcPr>
        <w:shd w:val="clear" w:color="ffffff" w:themeColor="accent6" w:fill="c9211e" w:themeFill="accent6"/>
        <w:tcBorders/>
      </w:tcPr>
    </w:tblStylePr>
    <w:tblStylePr w:type="firstRow">
      <w:rPr>
        <w:rFonts w:ascii="Arial" w:hAnsi="Arial"/>
        <w:color w:val="f2f2f2"/>
        <w:sz w:val="22"/>
      </w:rPr>
      <w:pPr>
        <w:pBdr/>
        <w:spacing/>
        <w:ind/>
      </w:pPr>
      <w:tblPr>
        <w:tblBorders/>
      </w:tblPr>
      <w:tcPr>
        <w:shd w:val="clear" w:color="ffffff" w:themeColor="accent6" w:fill="c9211e" w:themeFill="accent6"/>
        <w:tcBorders/>
      </w:tcPr>
    </w:tblStylePr>
    <w:tblStylePr w:type="lastCol">
      <w:rPr>
        <w:rFonts w:ascii="Arial" w:hAnsi="Arial"/>
        <w:color w:val="f2f2f2"/>
        <w:sz w:val="22"/>
      </w:rPr>
      <w:pPr>
        <w:pBdr/>
        <w:spacing/>
        <w:ind/>
      </w:pPr>
      <w:tblPr>
        <w:tblBorders/>
      </w:tblPr>
      <w:tcPr>
        <w:shd w:val="clear" w:color="ffffff" w:themeColor="accent6" w:fill="c9211e" w:themeFill="accent6"/>
        <w:tcBorders/>
      </w:tcPr>
    </w:tblStylePr>
    <w:tblStylePr w:type="lastRow">
      <w:rPr>
        <w:rFonts w:ascii="Arial" w:hAnsi="Arial"/>
        <w:color w:val="f2f2f2"/>
        <w:sz w:val="22"/>
      </w:rPr>
      <w:pPr>
        <w:pBdr/>
        <w:spacing/>
        <w:ind/>
      </w:pPr>
      <w:tblPr>
        <w:tblBorders/>
      </w:tblPr>
      <w:tcPr>
        <w:shd w:val="clear" w:color="ffffff" w:themeColor="accent6" w:fill="c9211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0">
    <w:name w:val="Heading 2"/>
    <w:basedOn w:val="668"/>
    <w:next w:val="668"/>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8"/>
    <w:next w:val="668"/>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8"/>
    <w:next w:val="668"/>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8"/>
    <w:next w:val="668"/>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8"/>
    <w:next w:val="668"/>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8"/>
    <w:next w:val="66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8"/>
    <w:next w:val="66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8"/>
    <w:next w:val="66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66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8"/>
    <w:next w:val="668"/>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8"/>
    <w:next w:val="66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8"/>
    <w:next w:val="66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paragraph" w:styleId="165">
    <w:name w:val="List Paragraph"/>
    <w:basedOn w:val="668"/>
    <w:uiPriority w:val="34"/>
    <w:qFormat/>
    <w:pPr>
      <w:pBdr/>
      <w:spacing/>
      <w:ind w:left="720"/>
      <w:contextualSpacing w:val="true"/>
    </w:p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8"/>
    <w:next w:val="66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66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1">
    <w:name w:val="footnote text"/>
    <w:basedOn w:val="668"/>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8"/>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8"/>
    <w:next w:val="668"/>
    <w:uiPriority w:val="39"/>
    <w:unhideWhenUsed/>
    <w:pPr>
      <w:pBdr/>
      <w:spacing w:after="100"/>
      <w:ind/>
    </w:pPr>
  </w:style>
  <w:style w:type="paragraph" w:styleId="190">
    <w:name w:val="toc 2"/>
    <w:basedOn w:val="668"/>
    <w:next w:val="668"/>
    <w:uiPriority w:val="39"/>
    <w:unhideWhenUsed/>
    <w:pPr>
      <w:pBdr/>
      <w:spacing w:after="100"/>
      <w:ind w:left="220"/>
    </w:pPr>
  </w:style>
  <w:style w:type="paragraph" w:styleId="191">
    <w:name w:val="toc 3"/>
    <w:basedOn w:val="668"/>
    <w:next w:val="668"/>
    <w:uiPriority w:val="39"/>
    <w:unhideWhenUsed/>
    <w:pPr>
      <w:pBdr/>
      <w:spacing w:after="100"/>
      <w:ind w:left="440"/>
    </w:pPr>
  </w:style>
  <w:style w:type="paragraph" w:styleId="192">
    <w:name w:val="toc 4"/>
    <w:basedOn w:val="668"/>
    <w:next w:val="668"/>
    <w:uiPriority w:val="39"/>
    <w:unhideWhenUsed/>
    <w:pPr>
      <w:pBdr/>
      <w:spacing w:after="100"/>
      <w:ind w:left="660"/>
    </w:pPr>
  </w:style>
  <w:style w:type="paragraph" w:styleId="193">
    <w:name w:val="toc 5"/>
    <w:basedOn w:val="668"/>
    <w:next w:val="668"/>
    <w:uiPriority w:val="39"/>
    <w:unhideWhenUsed/>
    <w:pPr>
      <w:pBdr/>
      <w:spacing w:after="100"/>
      <w:ind w:left="880"/>
    </w:pPr>
  </w:style>
  <w:style w:type="paragraph" w:styleId="194">
    <w:name w:val="toc 6"/>
    <w:basedOn w:val="668"/>
    <w:next w:val="668"/>
    <w:uiPriority w:val="39"/>
    <w:unhideWhenUsed/>
    <w:pPr>
      <w:pBdr/>
      <w:spacing w:after="100"/>
      <w:ind w:left="1100"/>
    </w:pPr>
  </w:style>
  <w:style w:type="paragraph" w:styleId="195">
    <w:name w:val="toc 7"/>
    <w:basedOn w:val="668"/>
    <w:next w:val="668"/>
    <w:uiPriority w:val="39"/>
    <w:unhideWhenUsed/>
    <w:pPr>
      <w:pBdr/>
      <w:spacing w:after="100"/>
      <w:ind w:left="1320"/>
    </w:pPr>
  </w:style>
  <w:style w:type="paragraph" w:styleId="196">
    <w:name w:val="toc 8"/>
    <w:basedOn w:val="668"/>
    <w:next w:val="668"/>
    <w:uiPriority w:val="39"/>
    <w:unhideWhenUsed/>
    <w:pPr>
      <w:pBdr/>
      <w:spacing w:after="100"/>
      <w:ind w:left="1540"/>
    </w:pPr>
  </w:style>
  <w:style w:type="paragraph" w:styleId="197">
    <w:name w:val="toc 9"/>
    <w:basedOn w:val="668"/>
    <w:next w:val="66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8"/>
    <w:next w:val="668"/>
    <w:uiPriority w:val="99"/>
    <w:unhideWhenUsed/>
    <w:pPr>
      <w:pBdr/>
      <w:spacing w:after="0" w:afterAutospacing="0"/>
      <w:ind/>
    </w:pPr>
  </w:style>
  <w:style w:type="paragraph" w:styleId="668" w:default="1">
    <w:name w:val="Normal"/>
    <w:qFormat/>
    <w:pPr>
      <w:widowControl w:val="true"/>
      <w:pBdr/>
      <w:bidi w:val="false"/>
      <w:spacing/>
      <w:ind/>
    </w:pPr>
    <w:rPr>
      <w:rFonts w:ascii="Liberation Serif" w:hAnsi="Liberation Serif" w:eastAsia="Noto Serif CJK SC" w:cs="Noto Sans Devanagari"/>
      <w:color w:val="auto"/>
      <w:sz w:val="24"/>
      <w:szCs w:val="24"/>
      <w:lang w:val="en-GB" w:eastAsia="zh-CN" w:bidi="hi-IN"/>
    </w:rPr>
  </w:style>
  <w:style w:type="paragraph" w:styleId="669">
    <w:name w:val="Heading 1"/>
    <w:basedOn w:val="674"/>
    <w:qFormat/>
    <w:pPr>
      <w:pBdr/>
      <w:spacing/>
      <w:ind/>
    </w:pPr>
    <w:rPr>
      <w:color w:val="2e74b5"/>
      <w:sz w:val="32"/>
      <w:szCs w:val="32"/>
    </w:rPr>
  </w:style>
  <w:style w:type="character" w:styleId="670">
    <w:name w:val="Strong"/>
    <w:qFormat/>
    <w:pPr>
      <w:pBdr/>
      <w:spacing/>
      <w:ind/>
    </w:pPr>
    <w:rPr>
      <w:b/>
      <w:bCs/>
    </w:rPr>
  </w:style>
  <w:style w:type="character" w:styleId="671">
    <w:name w:val="Emphasis"/>
    <w:qFormat/>
    <w:pPr>
      <w:pBdr/>
      <w:spacing/>
      <w:ind/>
    </w:pPr>
    <w:rPr>
      <w:i/>
      <w:iCs/>
    </w:rPr>
  </w:style>
  <w:style w:type="character" w:styleId="672">
    <w:name w:val="Hyperlink"/>
    <w:pPr>
      <w:pBdr/>
      <w:spacing/>
      <w:ind/>
    </w:pPr>
    <w:rPr>
      <w:color w:val="000080"/>
      <w:u w:val="single"/>
    </w:rPr>
  </w:style>
  <w:style w:type="character" w:styleId="673">
    <w:name w:val="Bullets"/>
    <w:qFormat/>
    <w:pPr>
      <w:pBdr/>
      <w:spacing/>
      <w:ind/>
    </w:pPr>
    <w:rPr>
      <w:rFonts w:ascii="OpenSymbol" w:hAnsi="OpenSymbol" w:eastAsia="OpenSymbol" w:cs="OpenSymbol"/>
    </w:rPr>
  </w:style>
  <w:style w:type="paragraph" w:styleId="674">
    <w:name w:val="Heading"/>
    <w:basedOn w:val="668"/>
    <w:next w:val="675"/>
    <w:qFormat/>
    <w:pPr>
      <w:keepNext w:val="true"/>
      <w:pBdr/>
      <w:spacing w:after="120" w:before="240"/>
      <w:ind/>
    </w:pPr>
    <w:rPr>
      <w:rFonts w:ascii="Liberation Sans" w:hAnsi="Liberation Sans" w:eastAsia="Noto Sans CJK SC" w:cs="Noto Sans Devanagari"/>
      <w:sz w:val="28"/>
      <w:szCs w:val="28"/>
    </w:rPr>
  </w:style>
  <w:style w:type="paragraph" w:styleId="675">
    <w:name w:val="Body Text"/>
    <w:basedOn w:val="668"/>
    <w:pPr>
      <w:pBdr/>
      <w:spacing w:after="140" w:before="0" w:line="276" w:lineRule="auto"/>
      <w:ind/>
    </w:pPr>
  </w:style>
  <w:style w:type="paragraph" w:styleId="676">
    <w:name w:val="List"/>
    <w:basedOn w:val="675"/>
    <w:pPr>
      <w:pBdr/>
      <w:spacing/>
      <w:ind/>
    </w:pPr>
    <w:rPr>
      <w:rFonts w:cs="Noto Sans Devanagari"/>
    </w:rPr>
  </w:style>
  <w:style w:type="paragraph" w:styleId="677">
    <w:name w:val="Caption"/>
    <w:basedOn w:val="668"/>
    <w:qFormat/>
    <w:pPr>
      <w:suppressLineNumbers w:val="true"/>
      <w:pBdr/>
      <w:spacing w:after="120" w:before="120"/>
      <w:ind/>
    </w:pPr>
    <w:rPr>
      <w:rFonts w:cs="Noto Sans Devanagari"/>
      <w:i/>
      <w:iCs/>
      <w:sz w:val="24"/>
      <w:szCs w:val="24"/>
    </w:rPr>
  </w:style>
  <w:style w:type="paragraph" w:styleId="678">
    <w:name w:val="Index"/>
    <w:basedOn w:val="668"/>
    <w:qFormat/>
    <w:pPr>
      <w:suppressLineNumbers w:val="true"/>
      <w:pBdr/>
      <w:spacing/>
      <w:ind/>
    </w:pPr>
    <w:rPr>
      <w:rFonts w:cs="Noto Sans Devanagari"/>
    </w:rPr>
  </w:style>
  <w:style w:type="paragraph" w:styleId="679">
    <w:name w:val="Block Quotation"/>
    <w:basedOn w:val="668"/>
    <w:qFormat/>
    <w:pPr>
      <w:pBdr/>
      <w:spacing w:after="283" w:before="0"/>
      <w:ind w:right="567" w:firstLine="0" w:left="567"/>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en.wikipedia.org/wiki/Assembly_language" TargetMode="External"/><Relationship Id="rId10" Type="http://schemas.openxmlformats.org/officeDocument/2006/relationships/hyperlink" Target="https://www.researchgate.net/publication/266457125_A_Detailed_Analysis_of_Contemporary_ARM_and_x86_Architectures" TargetMode="External"/><Relationship Id="rId11" Type="http://schemas.openxmlformats.org/officeDocument/2006/relationships/hyperlink" Target="https://dn720603.ca.archive.org/0/items/Professional_Assembly_Language_2005/Professional_Assembly_Language_2005.pdf" TargetMode="External"/><Relationship Id="rId12" Type="http://schemas.openxmlformats.org/officeDocument/2006/relationships/hyperlink" Target="https://www.asmirvine.com/files/FrontMatter_7e.pdf" TargetMode="External"/><Relationship Id="rId13" Type="http://schemas.openxmlformats.org/officeDocument/2006/relationships/hyperlink" Target="https://jsaer.com/download/vol-3-iss-1-2016/JSAER2016-03-01-17-20.pdf" TargetMode="External"/><Relationship Id="rId14" Type="http://schemas.openxmlformats.org/officeDocument/2006/relationships/hyperlink" Target="https://ic.unicamp.br/~celio/mc404-2012/ARMdocs/ARM_AssyLang.pdf"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
  <Application>ONLYOFFICE/9.1.0.173</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dc:language>en-GB</dc:language>
  <cp:revision>2</cp:revision>
  <dcterms:created xsi:type="dcterms:W3CDTF">2026-01-05T15:14:24Z</dcterms:created>
  <dcterms:modified xsi:type="dcterms:W3CDTF">2026-01-08T17:07:02Z</dcterms:modified>
</cp:coreProperties>
</file>