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09" w:rsidRDefault="00816F2E" w:rsidP="00DE2669">
      <w:pPr>
        <w:pStyle w:val="Titolo1"/>
      </w:pPr>
      <w:r w:rsidRPr="00767A37">
        <w:t xml:space="preserve">Simulazione </w:t>
      </w:r>
      <w:r>
        <w:t>scenari di miglioramento</w:t>
      </w:r>
    </w:p>
    <w:p w:rsidR="00816F2E" w:rsidRDefault="00816F2E">
      <w:pPr>
        <w:rPr>
          <w:rFonts w:cstheme="minorHAnsi"/>
        </w:rPr>
      </w:pPr>
    </w:p>
    <w:p w:rsidR="00816F2E" w:rsidRDefault="00816F2E" w:rsidP="00373786">
      <w:pPr>
        <w:jc w:val="both"/>
        <w:rPr>
          <w:rFonts w:cstheme="minorHAnsi"/>
        </w:rPr>
      </w:pPr>
      <w:r>
        <w:rPr>
          <w:rFonts w:cstheme="minorHAnsi"/>
        </w:rPr>
        <w:t>FLA-</w:t>
      </w:r>
    </w:p>
    <w:p w:rsidR="00816F2E" w:rsidRDefault="00F3169B" w:rsidP="00373786">
      <w:pPr>
        <w:jc w:val="both"/>
        <w:rPr>
          <w:rFonts w:cstheme="minorHAnsi"/>
        </w:rPr>
      </w:pPr>
      <w:r>
        <w:rPr>
          <w:rFonts w:cstheme="minorHAnsi"/>
        </w:rPr>
        <w:t xml:space="preserve">Azienda </w:t>
      </w:r>
      <w:r w:rsidR="000C02D5">
        <w:rPr>
          <w:rFonts w:cstheme="minorHAnsi"/>
        </w:rPr>
        <w:t>ARESLINE</w:t>
      </w:r>
    </w:p>
    <w:p w:rsidR="00816F2E" w:rsidRDefault="006A0E8E" w:rsidP="00EF2C73">
      <w:pPr>
        <w:pStyle w:val="Titolo2"/>
        <w:spacing w:after="200"/>
        <w:jc w:val="both"/>
      </w:pPr>
      <w:r>
        <w:t>Introduzione</w:t>
      </w:r>
    </w:p>
    <w:p w:rsidR="00DE2669" w:rsidRPr="00786EEB" w:rsidRDefault="009F3B8C" w:rsidP="00373786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L’</w:t>
      </w:r>
      <w:r w:rsidR="00786EEB" w:rsidRPr="00786EEB">
        <w:rPr>
          <w:rFonts w:ascii="Cambria" w:hAnsi="Cambria"/>
        </w:rPr>
        <w:t xml:space="preserve">analisi degli </w:t>
      </w:r>
      <w:proofErr w:type="spellStart"/>
      <w:r w:rsidR="00786EEB" w:rsidRPr="00786EEB">
        <w:rPr>
          <w:rFonts w:ascii="Cambria" w:hAnsi="Cambria"/>
        </w:rPr>
        <w:t>hotspot</w:t>
      </w:r>
      <w:proofErr w:type="spellEnd"/>
      <w:r w:rsidRPr="00786EEB">
        <w:rPr>
          <w:rFonts w:ascii="Cambria" w:hAnsi="Cambria"/>
        </w:rPr>
        <w:t xml:space="preserve"> identificati sulla base degli studi PEF condotti sui prodotti in oggetto di </w:t>
      </w:r>
      <w:proofErr w:type="spellStart"/>
      <w:r w:rsidR="00373786">
        <w:rPr>
          <w:rFonts w:ascii="Cambria" w:hAnsi="Cambria"/>
        </w:rPr>
        <w:t>Aresline</w:t>
      </w:r>
      <w:proofErr w:type="spellEnd"/>
      <w:r w:rsidR="00F30077">
        <w:rPr>
          <w:rFonts w:ascii="Cambria" w:hAnsi="Cambria"/>
        </w:rPr>
        <w:t xml:space="preserve"> (</w:t>
      </w:r>
      <w:r w:rsidR="001136B2">
        <w:rPr>
          <w:rFonts w:ascii="Cambria" w:hAnsi="Cambria"/>
        </w:rPr>
        <w:t xml:space="preserve">SEDIA Aira imbottita </w:t>
      </w:r>
      <w:r w:rsidR="00F30077">
        <w:rPr>
          <w:rFonts w:ascii="Cambria" w:hAnsi="Cambria"/>
        </w:rPr>
        <w:t xml:space="preserve"> e </w:t>
      </w:r>
      <w:r w:rsidR="001136B2">
        <w:rPr>
          <w:rFonts w:ascii="Cambria" w:hAnsi="Cambria"/>
        </w:rPr>
        <w:t>sedia Zero7 rete</w:t>
      </w:r>
      <w:r w:rsidR="00F30077">
        <w:rPr>
          <w:rFonts w:ascii="Cambria" w:hAnsi="Cambria"/>
        </w:rPr>
        <w:t>)</w:t>
      </w:r>
      <w:r w:rsidRPr="00786EEB">
        <w:rPr>
          <w:rFonts w:ascii="Cambria" w:hAnsi="Cambria"/>
        </w:rPr>
        <w:t xml:space="preserve"> ha mostrato che per questi prodotti le categorie di impatto rilevanti sono le seguenti:</w:t>
      </w:r>
    </w:p>
    <w:p w:rsidR="009F3B8C" w:rsidRPr="00786EEB" w:rsidRDefault="009F3B8C" w:rsidP="00373786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-cambiamento climatico</w:t>
      </w:r>
    </w:p>
    <w:p w:rsidR="009F3B8C" w:rsidRDefault="009F3B8C" w:rsidP="00373786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 particolato atmosferico</w:t>
      </w:r>
    </w:p>
    <w:p w:rsidR="00BB27E0" w:rsidRPr="00786EEB" w:rsidRDefault="00BB27E0" w:rsidP="00373786">
      <w:pPr>
        <w:jc w:val="both"/>
        <w:rPr>
          <w:rFonts w:ascii="Cambria" w:hAnsi="Cambria"/>
        </w:rPr>
      </w:pPr>
      <w:r>
        <w:rPr>
          <w:rFonts w:ascii="Cambria" w:hAnsi="Cambria"/>
        </w:rPr>
        <w:t>-formazione dello smog fotochimico</w:t>
      </w:r>
    </w:p>
    <w:p w:rsidR="009F3B8C" w:rsidRDefault="009F3B8C" w:rsidP="00373786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-acidificazione</w:t>
      </w:r>
    </w:p>
    <w:p w:rsidR="00BB27E0" w:rsidRPr="00786EEB" w:rsidRDefault="00BB27E0" w:rsidP="00373786">
      <w:pPr>
        <w:jc w:val="both"/>
        <w:rPr>
          <w:rFonts w:ascii="Cambria" w:hAnsi="Cambria"/>
        </w:rPr>
      </w:pPr>
      <w:r>
        <w:rPr>
          <w:rFonts w:ascii="Cambria" w:hAnsi="Cambria"/>
        </w:rPr>
        <w:t>-eutrofizzazione</w:t>
      </w:r>
      <w:r w:rsidR="001136B2">
        <w:rPr>
          <w:rFonts w:ascii="Cambria" w:hAnsi="Cambria"/>
        </w:rPr>
        <w:t xml:space="preserve"> marina</w:t>
      </w:r>
    </w:p>
    <w:p w:rsidR="009F3B8C" w:rsidRPr="00786EEB" w:rsidRDefault="009F3B8C" w:rsidP="00373786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-consumo di materie prime vergini.</w:t>
      </w:r>
    </w:p>
    <w:p w:rsidR="009F3B8C" w:rsidRPr="00786EEB" w:rsidRDefault="009F3B8C" w:rsidP="00373786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Le fasi del ciclo di vita che impattano maggiormente su queste categorie rilevanti sono relative a:</w:t>
      </w:r>
    </w:p>
    <w:p w:rsidR="009F3B8C" w:rsidRPr="00786EEB" w:rsidRDefault="009F3B8C" w:rsidP="00373786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 xml:space="preserve">- materie prime metalliche </w:t>
      </w:r>
      <w:r w:rsidR="00BB27E0">
        <w:rPr>
          <w:rFonts w:ascii="Cambria" w:hAnsi="Cambria"/>
        </w:rPr>
        <w:t xml:space="preserve">presenti </w:t>
      </w:r>
      <w:r w:rsidR="001136B2">
        <w:rPr>
          <w:rFonts w:ascii="Cambria" w:hAnsi="Cambria"/>
        </w:rPr>
        <w:t xml:space="preserve">nei componenti della sedia </w:t>
      </w:r>
      <w:r w:rsidR="00BB27E0">
        <w:rPr>
          <w:rFonts w:ascii="Cambria" w:hAnsi="Cambria"/>
        </w:rPr>
        <w:t xml:space="preserve"> </w:t>
      </w:r>
      <w:r w:rsidRPr="00786EEB">
        <w:rPr>
          <w:rFonts w:ascii="Cambria" w:hAnsi="Cambria"/>
        </w:rPr>
        <w:t>(</w:t>
      </w:r>
      <w:r w:rsidR="001136B2">
        <w:rPr>
          <w:rFonts w:ascii="Cambria" w:hAnsi="Cambria"/>
        </w:rPr>
        <w:t>es. supporto metallico, pistoni e schienale</w:t>
      </w:r>
      <w:r w:rsidRPr="00786EEB">
        <w:rPr>
          <w:rFonts w:ascii="Cambria" w:hAnsi="Cambria"/>
        </w:rPr>
        <w:t>)</w:t>
      </w:r>
    </w:p>
    <w:p w:rsidR="009F3B8C" w:rsidRPr="00786EEB" w:rsidRDefault="009F3B8C" w:rsidP="00373786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 xml:space="preserve">-lavorazione del piano della </w:t>
      </w:r>
      <w:r w:rsidR="001136B2">
        <w:rPr>
          <w:rFonts w:ascii="Cambria" w:hAnsi="Cambria"/>
        </w:rPr>
        <w:t xml:space="preserve">sedia in plastica </w:t>
      </w:r>
    </w:p>
    <w:p w:rsidR="009F3B8C" w:rsidRDefault="00786EEB" w:rsidP="00373786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 fine vita e smaltimento dei prodotti</w:t>
      </w:r>
    </w:p>
    <w:p w:rsidR="00BB27E0" w:rsidRPr="00786EEB" w:rsidRDefault="001136B2" w:rsidP="00373786">
      <w:pPr>
        <w:jc w:val="both"/>
        <w:rPr>
          <w:rFonts w:ascii="Cambria" w:hAnsi="Cambria"/>
        </w:rPr>
      </w:pPr>
      <w:r>
        <w:rPr>
          <w:rFonts w:ascii="Cambria" w:hAnsi="Cambria"/>
        </w:rPr>
        <w:t>- Packaging dei prodotti</w:t>
      </w:r>
    </w:p>
    <w:p w:rsidR="009F3B8C" w:rsidRPr="0096649F" w:rsidRDefault="009F3B8C" w:rsidP="00373786">
      <w:pPr>
        <w:jc w:val="both"/>
        <w:rPr>
          <w:rFonts w:asciiTheme="majorHAnsi" w:hAnsiTheme="majorHAnsi"/>
        </w:rPr>
      </w:pPr>
    </w:p>
    <w:p w:rsidR="009F3B8C" w:rsidRPr="0096649F" w:rsidRDefault="00657E12" w:rsidP="00373786">
      <w:pPr>
        <w:jc w:val="both"/>
        <w:rPr>
          <w:rFonts w:asciiTheme="majorHAnsi" w:hAnsiTheme="majorHAnsi"/>
        </w:rPr>
      </w:pPr>
      <w:r w:rsidRPr="0096649F">
        <w:rPr>
          <w:rFonts w:asciiTheme="majorHAnsi" w:hAnsiTheme="majorHAnsi"/>
        </w:rPr>
        <w:t>Sulla base dei risultati emersi, sono state previste le seguenti azioni di miglioramento che dovrebbero contribuire alla riduzione degli impatti ambientali.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57E12" w:rsidRPr="0096649F" w:rsidTr="00657E12">
        <w:tc>
          <w:tcPr>
            <w:tcW w:w="3259" w:type="dxa"/>
          </w:tcPr>
          <w:p w:rsidR="00657E12" w:rsidRPr="0096649F" w:rsidRDefault="00657E12">
            <w:pPr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Nome Azione</w:t>
            </w:r>
          </w:p>
        </w:tc>
        <w:tc>
          <w:tcPr>
            <w:tcW w:w="3259" w:type="dxa"/>
          </w:tcPr>
          <w:p w:rsidR="00657E12" w:rsidRPr="0096649F" w:rsidRDefault="00657E12">
            <w:pPr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Contenuto azione</w:t>
            </w:r>
          </w:p>
        </w:tc>
        <w:tc>
          <w:tcPr>
            <w:tcW w:w="3260" w:type="dxa"/>
          </w:tcPr>
          <w:p w:rsidR="00657E12" w:rsidRPr="0096649F" w:rsidRDefault="00657E12">
            <w:pPr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Note</w:t>
            </w:r>
          </w:p>
        </w:tc>
      </w:tr>
      <w:tr w:rsidR="00657E12" w:rsidRPr="0096649F" w:rsidTr="00657E12">
        <w:tc>
          <w:tcPr>
            <w:tcW w:w="3259" w:type="dxa"/>
          </w:tcPr>
          <w:p w:rsidR="00657E12" w:rsidRPr="0096649F" w:rsidRDefault="00657E12" w:rsidP="0096649F">
            <w:pPr>
              <w:jc w:val="center"/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ADM1</w:t>
            </w:r>
          </w:p>
        </w:tc>
        <w:tc>
          <w:tcPr>
            <w:tcW w:w="3259" w:type="dxa"/>
          </w:tcPr>
          <w:p w:rsidR="00657E12" w:rsidRPr="0096649F" w:rsidRDefault="00657E12" w:rsidP="008C2870">
            <w:pPr>
              <w:rPr>
                <w:rFonts w:asciiTheme="majorHAnsi" w:hAnsiTheme="majorHAnsi"/>
              </w:rPr>
            </w:pPr>
            <w:r w:rsidRPr="0096649F">
              <w:rPr>
                <w:rFonts w:asciiTheme="majorHAnsi" w:hAnsiTheme="majorHAnsi"/>
              </w:rPr>
              <w:t xml:space="preserve">Riduzione </w:t>
            </w:r>
            <w:r w:rsidR="00454300">
              <w:rPr>
                <w:rFonts w:asciiTheme="majorHAnsi" w:hAnsiTheme="majorHAnsi"/>
              </w:rPr>
              <w:t xml:space="preserve">del 5% </w:t>
            </w:r>
            <w:r w:rsidR="008C2870">
              <w:rPr>
                <w:rFonts w:asciiTheme="majorHAnsi" w:hAnsiTheme="majorHAnsi"/>
              </w:rPr>
              <w:t xml:space="preserve"> del packaging in cartone</w:t>
            </w:r>
          </w:p>
        </w:tc>
        <w:tc>
          <w:tcPr>
            <w:tcW w:w="3260" w:type="dxa"/>
          </w:tcPr>
          <w:p w:rsidR="00657E12" w:rsidRPr="0096649F" w:rsidRDefault="00657E12">
            <w:pPr>
              <w:rPr>
                <w:rFonts w:asciiTheme="majorHAnsi" w:hAnsiTheme="majorHAnsi"/>
              </w:rPr>
            </w:pPr>
          </w:p>
        </w:tc>
      </w:tr>
      <w:tr w:rsidR="00657E12" w:rsidRPr="0096649F" w:rsidTr="00657E12">
        <w:tc>
          <w:tcPr>
            <w:tcW w:w="3259" w:type="dxa"/>
          </w:tcPr>
          <w:p w:rsidR="00657E12" w:rsidRPr="0096649F" w:rsidRDefault="00657E12" w:rsidP="0096649F">
            <w:pPr>
              <w:jc w:val="center"/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ADM2</w:t>
            </w:r>
          </w:p>
        </w:tc>
        <w:tc>
          <w:tcPr>
            <w:tcW w:w="3259" w:type="dxa"/>
          </w:tcPr>
          <w:p w:rsidR="00657E12" w:rsidRPr="0096649F" w:rsidRDefault="00657E12" w:rsidP="008C2870">
            <w:pPr>
              <w:rPr>
                <w:rFonts w:asciiTheme="majorHAnsi" w:hAnsiTheme="majorHAnsi"/>
              </w:rPr>
            </w:pPr>
            <w:r w:rsidRPr="0096649F">
              <w:rPr>
                <w:rFonts w:asciiTheme="majorHAnsi" w:hAnsiTheme="majorHAnsi"/>
              </w:rPr>
              <w:t xml:space="preserve">Riduzione del </w:t>
            </w:r>
            <w:r w:rsidR="008C2870">
              <w:rPr>
                <w:rFonts w:asciiTheme="majorHAnsi" w:hAnsiTheme="majorHAnsi"/>
              </w:rPr>
              <w:t>10</w:t>
            </w:r>
            <w:r w:rsidR="00454300">
              <w:rPr>
                <w:rFonts w:asciiTheme="majorHAnsi" w:hAnsiTheme="majorHAnsi"/>
              </w:rPr>
              <w:t xml:space="preserve">% </w:t>
            </w:r>
            <w:r w:rsidR="008C2870">
              <w:rPr>
                <w:rFonts w:asciiTheme="majorHAnsi" w:hAnsiTheme="majorHAnsi"/>
              </w:rPr>
              <w:t>del packaging altro (plastica)</w:t>
            </w:r>
          </w:p>
        </w:tc>
        <w:tc>
          <w:tcPr>
            <w:tcW w:w="3260" w:type="dxa"/>
          </w:tcPr>
          <w:p w:rsidR="00657E12" w:rsidRPr="0096649F" w:rsidRDefault="00657E12">
            <w:pPr>
              <w:rPr>
                <w:rFonts w:asciiTheme="majorHAnsi" w:hAnsiTheme="majorHAnsi"/>
              </w:rPr>
            </w:pPr>
          </w:p>
        </w:tc>
      </w:tr>
      <w:tr w:rsidR="00657E12" w:rsidRPr="0096649F" w:rsidTr="00657E12">
        <w:tc>
          <w:tcPr>
            <w:tcW w:w="3259" w:type="dxa"/>
          </w:tcPr>
          <w:p w:rsidR="00657E12" w:rsidRPr="0096649F" w:rsidRDefault="00657E12" w:rsidP="0096649F">
            <w:pPr>
              <w:jc w:val="center"/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ADM3</w:t>
            </w:r>
          </w:p>
        </w:tc>
        <w:tc>
          <w:tcPr>
            <w:tcW w:w="3259" w:type="dxa"/>
          </w:tcPr>
          <w:p w:rsidR="00657E12" w:rsidRPr="0096649F" w:rsidRDefault="008C2870" w:rsidP="008C28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Riduzione della colla per facilitare il </w:t>
            </w:r>
            <w:proofErr w:type="spellStart"/>
            <w:r>
              <w:rPr>
                <w:rFonts w:asciiTheme="majorHAnsi" w:hAnsiTheme="majorHAnsi"/>
              </w:rPr>
              <w:t>disassemblaggio</w:t>
            </w:r>
            <w:proofErr w:type="spellEnd"/>
          </w:p>
        </w:tc>
        <w:tc>
          <w:tcPr>
            <w:tcW w:w="3260" w:type="dxa"/>
          </w:tcPr>
          <w:p w:rsidR="00657E12" w:rsidRPr="0096649F" w:rsidRDefault="008C2870">
            <w:pPr>
              <w:rPr>
                <w:rFonts w:asciiTheme="majorHAnsi" w:hAnsiTheme="majorHAnsi"/>
              </w:rPr>
            </w:pPr>
            <w:r w:rsidRPr="008C2870">
              <w:rPr>
                <w:rFonts w:asciiTheme="majorHAnsi" w:hAnsiTheme="majorHAnsi"/>
                <w:highlight w:val="yellow"/>
              </w:rPr>
              <w:t>Occorre identificare quali componenti potrebbero andare a riciclo invece che discarica (in scenario base solo il metallo va in riciclo)</w:t>
            </w:r>
          </w:p>
        </w:tc>
      </w:tr>
      <w:tr w:rsidR="00863692" w:rsidRPr="0096649F" w:rsidTr="00657E12">
        <w:tc>
          <w:tcPr>
            <w:tcW w:w="3259" w:type="dxa"/>
          </w:tcPr>
          <w:p w:rsidR="00863692" w:rsidRPr="0096649F" w:rsidRDefault="004F3249" w:rsidP="0096649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ADM4</w:t>
            </w:r>
          </w:p>
        </w:tc>
        <w:tc>
          <w:tcPr>
            <w:tcW w:w="3259" w:type="dxa"/>
          </w:tcPr>
          <w:p w:rsidR="00863692" w:rsidRDefault="008C2870" w:rsidP="004F32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produzione del 50% in peso della scocca in plastica in </w:t>
            </w:r>
            <w:r>
              <w:rPr>
                <w:rFonts w:asciiTheme="majorHAnsi" w:hAnsiTheme="majorHAnsi"/>
              </w:rPr>
              <w:lastRenderedPageBreak/>
              <w:t>plastica riciclata</w:t>
            </w:r>
          </w:p>
        </w:tc>
        <w:tc>
          <w:tcPr>
            <w:tcW w:w="3260" w:type="dxa"/>
          </w:tcPr>
          <w:p w:rsidR="00863692" w:rsidRDefault="00FE69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Modellata la plastica PP riciclata</w:t>
            </w:r>
            <w:r w:rsidR="00C132F6">
              <w:rPr>
                <w:rFonts w:asciiTheme="majorHAnsi" w:hAnsiTheme="majorHAnsi"/>
              </w:rPr>
              <w:t xml:space="preserve"> per AIRA imbottita</w:t>
            </w:r>
          </w:p>
          <w:p w:rsidR="00C132F6" w:rsidRDefault="00C132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E plastica del basamento per zero7 rete</w:t>
            </w:r>
          </w:p>
        </w:tc>
      </w:tr>
    </w:tbl>
    <w:p w:rsidR="00DE2669" w:rsidRDefault="00DE2669"/>
    <w:p w:rsidR="00711EAB" w:rsidRDefault="00711EAB" w:rsidP="00711EAB">
      <w:pPr>
        <w:pStyle w:val="Titolo2"/>
        <w:spacing w:before="0" w:after="200"/>
        <w:jc w:val="both"/>
      </w:pPr>
      <w:r>
        <w:t>Analisi di sensitività</w:t>
      </w:r>
    </w:p>
    <w:p w:rsidR="00711EAB" w:rsidRDefault="00711EAB" w:rsidP="00711EAB">
      <w:pPr>
        <w:pStyle w:val="Titolo2"/>
        <w:spacing w:before="0"/>
        <w:jc w:val="both"/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</w:pP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>I risultati di impatto per le analisi di sensitività condotte sono di seguito riportati per le categorie d’impatto rilevanti. Le tabelle illustrano i valori assoluti con le rispettive percentuali di riduzione dell’impatto rispetto allo scenario base. I grafici riportano i risultati in percentuale, considerando come 100% lo scenario base.</w:t>
      </w:r>
    </w:p>
    <w:p w:rsidR="00711EAB" w:rsidRPr="0051763F" w:rsidRDefault="00711EAB" w:rsidP="00711EAB">
      <w:pPr>
        <w:jc w:val="both"/>
      </w:pPr>
    </w:p>
    <w:p w:rsidR="00711EAB" w:rsidRDefault="00711EAB" w:rsidP="00711EAB">
      <w:pPr>
        <w:pStyle w:val="Titolo2"/>
        <w:numPr>
          <w:ilvl w:val="0"/>
          <w:numId w:val="1"/>
        </w:numPr>
        <w:spacing w:before="0" w:after="200"/>
        <w:jc w:val="both"/>
      </w:pPr>
      <w:r>
        <w:t>Sedia Aira imbottita</w:t>
      </w:r>
    </w:p>
    <w:p w:rsidR="00CE6CB2" w:rsidRPr="00CE6CB2" w:rsidRDefault="00711EAB" w:rsidP="00CE6CB2">
      <w:pPr>
        <w:pStyle w:val="Titolo2"/>
        <w:numPr>
          <w:ilvl w:val="0"/>
          <w:numId w:val="2"/>
        </w:numPr>
        <w:spacing w:after="200"/>
        <w:jc w:val="both"/>
      </w:pPr>
      <w:r w:rsidRPr="004B1126">
        <w:t>Simulazione scenari ADM1</w:t>
      </w:r>
      <w:r>
        <w:t xml:space="preserve"> e ADM2</w:t>
      </w:r>
      <w:r>
        <w:t xml:space="preserve">: riduzione </w:t>
      </w:r>
      <w:r>
        <w:t>del packaging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6"/>
        <w:gridCol w:w="1387"/>
        <w:gridCol w:w="1083"/>
        <w:gridCol w:w="696"/>
        <w:gridCol w:w="796"/>
        <w:gridCol w:w="1224"/>
        <w:gridCol w:w="1226"/>
      </w:tblGrid>
      <w:tr w:rsidR="00CE6CB2" w:rsidRPr="001723A7" w:rsidTr="00CE6CB2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CB2" w:rsidRPr="001723A7" w:rsidRDefault="00CE6CB2" w:rsidP="00D7370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CB2" w:rsidRPr="001723A7" w:rsidRDefault="00CE6CB2" w:rsidP="00D7370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CE6CB2" w:rsidRPr="001723A7" w:rsidRDefault="00CE6CB2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CE6CB2" w:rsidRPr="001723A7" w:rsidRDefault="00CE6CB2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5%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E6CB2" w:rsidRPr="001723A7" w:rsidRDefault="00CE6CB2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10%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B2" w:rsidRPr="001723A7" w:rsidRDefault="00CE6CB2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- 5%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B2" w:rsidRPr="001723A7" w:rsidRDefault="00CE6CB2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- 10%</w:t>
            </w:r>
          </w:p>
        </w:tc>
      </w:tr>
      <w:tr w:rsidR="00CE6CB2" w:rsidRPr="001723A7" w:rsidTr="00E5387C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CB2" w:rsidRPr="001723A7" w:rsidRDefault="00CE6CB2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CB2" w:rsidRPr="001723A7" w:rsidRDefault="00CE6CB2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37,09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36,97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36,96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0,32%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0,35%</w:t>
            </w:r>
          </w:p>
        </w:tc>
      </w:tr>
      <w:tr w:rsidR="00CE6CB2" w:rsidRPr="001723A7" w:rsidTr="00E5387C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CB2" w:rsidRPr="001723A7" w:rsidRDefault="00CE6CB2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CB2" w:rsidRPr="001723A7" w:rsidRDefault="00CE6CB2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0,09%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0,26%</w:t>
            </w:r>
          </w:p>
        </w:tc>
      </w:tr>
      <w:tr w:rsidR="00CE6CB2" w:rsidRPr="001723A7" w:rsidTr="00E5387C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CB2" w:rsidRPr="00CE6CB2" w:rsidRDefault="00CE6CB2" w:rsidP="00CE6CB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CB2" w:rsidRPr="00CE6CB2" w:rsidRDefault="00CE6CB2" w:rsidP="00CE6CB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noWrap/>
            <w:vAlign w:val="center"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0,18%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0,43%</w:t>
            </w:r>
          </w:p>
        </w:tc>
      </w:tr>
      <w:tr w:rsidR="00CE6CB2" w:rsidRPr="001723A7" w:rsidTr="00E5387C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CB2" w:rsidRPr="00CE6CB2" w:rsidRDefault="00CE6CB2" w:rsidP="00CE6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CE6C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CB2" w:rsidRPr="00CE6CB2" w:rsidRDefault="00CE6CB2" w:rsidP="00CE6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CE6C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CE6C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CE6C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0,18%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0,29%</w:t>
            </w:r>
          </w:p>
        </w:tc>
      </w:tr>
      <w:tr w:rsidR="00CE6CB2" w:rsidRPr="001723A7" w:rsidTr="00CE6CB2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CB2" w:rsidRPr="00CE6CB2" w:rsidRDefault="00CE6CB2" w:rsidP="00CE6CB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Marine </w:t>
            </w: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CB2" w:rsidRPr="00CE6CB2" w:rsidRDefault="00CE6CB2" w:rsidP="00CE6CB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 </w:t>
            </w: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C66"/>
            <w:noWrap/>
            <w:vAlign w:val="center"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0,54%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0,22%</w:t>
            </w:r>
          </w:p>
        </w:tc>
      </w:tr>
      <w:tr w:rsidR="00CE6CB2" w:rsidRPr="001723A7" w:rsidTr="00CE6CB2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CB2" w:rsidRPr="001723A7" w:rsidRDefault="00CE6CB2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CB2" w:rsidRPr="001723A7" w:rsidRDefault="00CE6CB2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C66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2,32%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CB2" w:rsidRPr="00CE6CB2" w:rsidRDefault="00CE6CB2" w:rsidP="00CE6CB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0,05%</w:t>
            </w:r>
          </w:p>
        </w:tc>
      </w:tr>
    </w:tbl>
    <w:p w:rsidR="00DE2669" w:rsidRDefault="00DE2669"/>
    <w:p w:rsidR="00CE6CB2" w:rsidRDefault="00CE6CB2">
      <w:r>
        <w:rPr>
          <w:noProof/>
          <w:lang w:eastAsia="it-IT"/>
        </w:rPr>
        <w:drawing>
          <wp:inline distT="0" distB="0" distL="0" distR="0" wp14:anchorId="6EFF9944" wp14:editId="6BD6DE6B">
            <wp:extent cx="6120130" cy="2479475"/>
            <wp:effectExtent l="0" t="0" r="0" b="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5387C" w:rsidRPr="00CE6CB2" w:rsidRDefault="00E5387C" w:rsidP="00E5387C">
      <w:pPr>
        <w:pStyle w:val="Titolo2"/>
        <w:numPr>
          <w:ilvl w:val="0"/>
          <w:numId w:val="2"/>
        </w:numPr>
        <w:spacing w:after="200"/>
        <w:jc w:val="both"/>
      </w:pPr>
      <w:r w:rsidRPr="004B1126">
        <w:t xml:space="preserve">Simulazione scenari </w:t>
      </w:r>
      <w:r>
        <w:t>ADM</w:t>
      </w:r>
      <w:r>
        <w:t>4</w:t>
      </w:r>
      <w:r>
        <w:t xml:space="preserve">: </w:t>
      </w:r>
      <w:r>
        <w:t>riduzione della materia prima vergine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701"/>
        <w:gridCol w:w="1486"/>
        <w:gridCol w:w="1488"/>
        <w:gridCol w:w="1475"/>
      </w:tblGrid>
      <w:tr w:rsidR="00E5387C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C" w:rsidRPr="001723A7" w:rsidRDefault="00E5387C" w:rsidP="00D7370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387C" w:rsidRPr="001723A7" w:rsidRDefault="00E5387C" w:rsidP="00D7370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E5387C" w:rsidRPr="001723A7" w:rsidRDefault="00E5387C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E5387C" w:rsidRPr="001723A7" w:rsidRDefault="00E5387C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387C" w:rsidRPr="001723A7" w:rsidRDefault="00E5387C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Δ_0% -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</w:tr>
      <w:tr w:rsidR="00E5387C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87C" w:rsidRPr="001723A7" w:rsidRDefault="00E5387C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87C" w:rsidRPr="001723A7" w:rsidRDefault="00E5387C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37,09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35,32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4,77%</w:t>
            </w:r>
          </w:p>
        </w:tc>
      </w:tr>
      <w:tr w:rsidR="00E5387C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87C" w:rsidRPr="001723A7" w:rsidRDefault="00E5387C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87C" w:rsidRPr="001723A7" w:rsidRDefault="00E5387C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4,06%</w:t>
            </w:r>
          </w:p>
        </w:tc>
      </w:tr>
      <w:tr w:rsidR="00E5387C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387C" w:rsidRPr="00E37A29" w:rsidRDefault="00E5387C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387C" w:rsidRPr="00E37A29" w:rsidRDefault="00E5387C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6,99%</w:t>
            </w:r>
          </w:p>
        </w:tc>
      </w:tr>
      <w:tr w:rsidR="00E5387C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87C" w:rsidRPr="001723A7" w:rsidRDefault="00E5387C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87C" w:rsidRPr="001723A7" w:rsidRDefault="00E5387C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4,45%</w:t>
            </w:r>
          </w:p>
        </w:tc>
      </w:tr>
      <w:tr w:rsidR="00E5387C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387C" w:rsidRPr="00E37A29" w:rsidRDefault="00E5387C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Marine</w:t>
            </w: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387C" w:rsidRPr="00E37A29" w:rsidRDefault="00E5387C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molc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3,32%</w:t>
            </w:r>
          </w:p>
        </w:tc>
      </w:tr>
      <w:tr w:rsidR="00E5387C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87C" w:rsidRPr="001723A7" w:rsidRDefault="00E5387C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387C" w:rsidRPr="001723A7" w:rsidRDefault="00E5387C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387C" w:rsidRPr="00E5387C" w:rsidRDefault="00E5387C" w:rsidP="00E5387C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5387C">
              <w:rPr>
                <w:rFonts w:ascii="Calibri" w:hAnsi="Calibri" w:cs="Calibri"/>
                <w:color w:val="000000"/>
                <w:sz w:val="20"/>
                <w:szCs w:val="20"/>
              </w:rPr>
              <w:t>0,60%</w:t>
            </w:r>
          </w:p>
        </w:tc>
      </w:tr>
    </w:tbl>
    <w:p w:rsidR="00711EAB" w:rsidRDefault="00711EAB"/>
    <w:p w:rsidR="00E5387C" w:rsidRDefault="00E5387C">
      <w:r>
        <w:rPr>
          <w:noProof/>
          <w:lang w:eastAsia="it-IT"/>
        </w:rPr>
        <w:lastRenderedPageBreak/>
        <w:drawing>
          <wp:inline distT="0" distB="0" distL="0" distR="0" wp14:anchorId="5F0411F6" wp14:editId="55BE41CF">
            <wp:extent cx="6120130" cy="2479475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449F" w:rsidRDefault="0031449F" w:rsidP="0031449F">
      <w:pPr>
        <w:pStyle w:val="Titolo2"/>
        <w:numPr>
          <w:ilvl w:val="0"/>
          <w:numId w:val="1"/>
        </w:numPr>
        <w:spacing w:before="0" w:after="200"/>
        <w:jc w:val="both"/>
      </w:pPr>
      <w:r>
        <w:t xml:space="preserve">Sedia </w:t>
      </w:r>
      <w:r>
        <w:t>Zero7-rete</w:t>
      </w:r>
    </w:p>
    <w:p w:rsidR="0031449F" w:rsidRPr="00CE6CB2" w:rsidRDefault="0031449F" w:rsidP="0031449F">
      <w:pPr>
        <w:pStyle w:val="Titolo2"/>
        <w:numPr>
          <w:ilvl w:val="0"/>
          <w:numId w:val="2"/>
        </w:numPr>
        <w:spacing w:after="200"/>
        <w:jc w:val="both"/>
      </w:pPr>
      <w:r w:rsidRPr="004B1126">
        <w:t>Simulazione scenari ADM1</w:t>
      </w:r>
      <w:r>
        <w:t xml:space="preserve"> e ADM2: riduzione del packaging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5"/>
        <w:gridCol w:w="1387"/>
        <w:gridCol w:w="1083"/>
        <w:gridCol w:w="697"/>
        <w:gridCol w:w="796"/>
        <w:gridCol w:w="1224"/>
        <w:gridCol w:w="1226"/>
      </w:tblGrid>
      <w:tr w:rsidR="00BA715D" w:rsidRPr="001723A7" w:rsidTr="00D73702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5%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10%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- 5%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- 10%</w:t>
            </w:r>
          </w:p>
        </w:tc>
      </w:tr>
      <w:tr w:rsidR="00BA715D" w:rsidRPr="001723A7" w:rsidTr="00D73702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112,30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112,18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112,17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0,10%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0,12%</w:t>
            </w:r>
          </w:p>
        </w:tc>
      </w:tr>
      <w:tr w:rsidR="00BA715D" w:rsidRPr="001723A7" w:rsidTr="00D73702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0,03%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0,09%</w:t>
            </w:r>
          </w:p>
        </w:tc>
      </w:tr>
      <w:tr w:rsidR="00BA715D" w:rsidRPr="001723A7" w:rsidTr="00D73702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15D" w:rsidRPr="00CE6CB2" w:rsidRDefault="00BA715D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15D" w:rsidRPr="00CE6CB2" w:rsidRDefault="00BA715D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0,06%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0,15%</w:t>
            </w:r>
          </w:p>
        </w:tc>
      </w:tr>
      <w:tr w:rsidR="00BA715D" w:rsidRPr="001723A7" w:rsidTr="00D73702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CE6CB2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CE6C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CE6CB2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CE6C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CE6C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CE6C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0,06%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0,10%</w:t>
            </w:r>
          </w:p>
        </w:tc>
      </w:tr>
      <w:tr w:rsidR="00BA715D" w:rsidRPr="001723A7" w:rsidTr="00D73702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15D" w:rsidRPr="00CE6CB2" w:rsidRDefault="00BA715D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Marine </w:t>
            </w: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15D" w:rsidRPr="00CE6CB2" w:rsidRDefault="00BA715D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 </w:t>
            </w:r>
            <w:proofErr w:type="spellStart"/>
            <w:r w:rsidRPr="00CE6CB2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C66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0,16%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0,07%</w:t>
            </w:r>
          </w:p>
        </w:tc>
      </w:tr>
      <w:tr w:rsidR="00BA715D" w:rsidRPr="001723A7" w:rsidTr="00D73702">
        <w:trPr>
          <w:trHeight w:val="300"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C66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6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1,21%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0,03%</w:t>
            </w:r>
          </w:p>
        </w:tc>
      </w:tr>
    </w:tbl>
    <w:p w:rsidR="00711EAB" w:rsidRDefault="00711EAB"/>
    <w:p w:rsidR="00711EAB" w:rsidRDefault="00BA715D">
      <w:r>
        <w:rPr>
          <w:noProof/>
          <w:lang w:eastAsia="it-IT"/>
        </w:rPr>
        <w:drawing>
          <wp:inline distT="0" distB="0" distL="0" distR="0" wp14:anchorId="1462D313" wp14:editId="7D80A06D">
            <wp:extent cx="6120130" cy="2479475"/>
            <wp:effectExtent l="0" t="0" r="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A715D" w:rsidRPr="00CE6CB2" w:rsidRDefault="00BA715D" w:rsidP="00BA715D">
      <w:pPr>
        <w:pStyle w:val="Titolo2"/>
        <w:numPr>
          <w:ilvl w:val="0"/>
          <w:numId w:val="2"/>
        </w:numPr>
        <w:spacing w:after="200"/>
        <w:jc w:val="both"/>
      </w:pPr>
      <w:r w:rsidRPr="004B1126">
        <w:t xml:space="preserve">Simulazione scenari </w:t>
      </w:r>
      <w:r>
        <w:t>ADM4: riduzione della materia prima vergine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1701"/>
        <w:gridCol w:w="1486"/>
        <w:gridCol w:w="1488"/>
        <w:gridCol w:w="1475"/>
      </w:tblGrid>
      <w:tr w:rsidR="00BA715D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50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1723A7" w:rsidRDefault="00BA715D" w:rsidP="00D73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Δ_0% -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50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</w:tr>
      <w:tr w:rsidR="00BA715D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112,30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110,11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1,95%</w:t>
            </w:r>
          </w:p>
        </w:tc>
      </w:tr>
      <w:tr w:rsidR="00BA715D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3,45%</w:t>
            </w:r>
          </w:p>
        </w:tc>
      </w:tr>
      <w:tr w:rsidR="00BA715D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15D" w:rsidRPr="00E37A29" w:rsidRDefault="00BA715D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Photochemical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ozone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15D" w:rsidRPr="00E37A29" w:rsidRDefault="00BA715D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kg NMVOC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1,91%</w:t>
            </w:r>
          </w:p>
        </w:tc>
      </w:tr>
      <w:tr w:rsidR="00BA715D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1,88%</w:t>
            </w:r>
          </w:p>
        </w:tc>
      </w:tr>
      <w:tr w:rsidR="00BA715D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15D" w:rsidRPr="00E37A29" w:rsidRDefault="00BA715D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Marine</w:t>
            </w:r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eutrophication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15D" w:rsidRPr="00E37A29" w:rsidRDefault="00BA715D" w:rsidP="00D73702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molc</w:t>
            </w:r>
            <w:proofErr w:type="spellEnd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 </w:t>
            </w:r>
            <w:proofErr w:type="spellStart"/>
            <w:r w:rsidRPr="00E37A29">
              <w:rPr>
                <w:rFonts w:ascii="Calibri" w:hAnsi="Calibri" w:cs="Calibri"/>
                <w:color w:val="000000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3,74%</w:t>
            </w:r>
          </w:p>
        </w:tc>
      </w:tr>
      <w:tr w:rsidR="00BA715D" w:rsidRPr="001723A7" w:rsidTr="00D73702">
        <w:trPr>
          <w:trHeight w:val="300"/>
        </w:trPr>
        <w:tc>
          <w:tcPr>
            <w:tcW w:w="1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5D" w:rsidRPr="001723A7" w:rsidRDefault="00BA715D" w:rsidP="00D73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7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15D" w:rsidRPr="00BA715D" w:rsidRDefault="00BA715D" w:rsidP="00BA715D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715D">
              <w:rPr>
                <w:rFonts w:ascii="Calibri" w:hAnsi="Calibri" w:cs="Calibri"/>
                <w:color w:val="000000"/>
                <w:sz w:val="20"/>
                <w:szCs w:val="20"/>
              </w:rPr>
              <w:t>0,40%</w:t>
            </w:r>
          </w:p>
        </w:tc>
      </w:tr>
    </w:tbl>
    <w:p w:rsidR="00BA715D" w:rsidRDefault="00BA715D"/>
    <w:p w:rsidR="00BA715D" w:rsidRDefault="00BA715D">
      <w:r>
        <w:rPr>
          <w:noProof/>
          <w:lang w:eastAsia="it-IT"/>
        </w:rPr>
        <w:drawing>
          <wp:inline distT="0" distB="0" distL="0" distR="0" wp14:anchorId="214ECD24" wp14:editId="6FE251C1">
            <wp:extent cx="6120130" cy="2479475"/>
            <wp:effectExtent l="0" t="0" r="0" b="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83B4E" w:rsidRDefault="00D83B4E" w:rsidP="00D83B4E">
      <w:pPr>
        <w:jc w:val="both"/>
      </w:pPr>
      <w:r>
        <w:t>Dalle analisi di sensibilità effettuate risulta che le azioni di miglioramento relative alla riduzione del packaging non portano sostanziali abbattimenti degli impatti ambientali</w:t>
      </w:r>
      <w:r w:rsidR="00491286">
        <w:t>, questi infatti si riducono di valori inferiori all’1%</w:t>
      </w:r>
      <w:r>
        <w:t>. Per la sedia Aira imbottita l’azione che prevede la sostituzione del 50% di plastica vergine con plastica riciclata determina una riduzione degli impatti superiore al 5% per 3 categorie d’impatto</w:t>
      </w:r>
      <w:r w:rsidR="006725D8">
        <w:t>. La stessa azione di miglioramento per la sedia Zero7 in rete comporta una riduzione degli impatti che arri</w:t>
      </w:r>
      <w:r w:rsidR="00C30186">
        <w:t xml:space="preserve">va al massimo al 4% per solo 2 </w:t>
      </w:r>
      <w:r w:rsidR="006725D8">
        <w:t>categorie d’impatto.</w:t>
      </w:r>
      <w:bookmarkStart w:id="0" w:name="_GoBack"/>
      <w:bookmarkEnd w:id="0"/>
    </w:p>
    <w:sectPr w:rsidR="00D83B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60057"/>
    <w:multiLevelType w:val="hybridMultilevel"/>
    <w:tmpl w:val="AC9C4A8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46B52"/>
    <w:multiLevelType w:val="hybridMultilevel"/>
    <w:tmpl w:val="B13A71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5B33"/>
    <w:multiLevelType w:val="hybridMultilevel"/>
    <w:tmpl w:val="E55EFCA2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2E"/>
    <w:rsid w:val="000C02D5"/>
    <w:rsid w:val="001136B2"/>
    <w:rsid w:val="001C46FD"/>
    <w:rsid w:val="0031449F"/>
    <w:rsid w:val="00373786"/>
    <w:rsid w:val="00454300"/>
    <w:rsid w:val="0048574B"/>
    <w:rsid w:val="00491286"/>
    <w:rsid w:val="004F3249"/>
    <w:rsid w:val="00657E12"/>
    <w:rsid w:val="006725D8"/>
    <w:rsid w:val="006A0E8E"/>
    <w:rsid w:val="00711EAB"/>
    <w:rsid w:val="00786EEB"/>
    <w:rsid w:val="00816F2E"/>
    <w:rsid w:val="00840FFD"/>
    <w:rsid w:val="00841BA2"/>
    <w:rsid w:val="00863692"/>
    <w:rsid w:val="008C2870"/>
    <w:rsid w:val="0096649F"/>
    <w:rsid w:val="009F3B8C"/>
    <w:rsid w:val="00A57E36"/>
    <w:rsid w:val="00BA715D"/>
    <w:rsid w:val="00BB27E0"/>
    <w:rsid w:val="00C132F6"/>
    <w:rsid w:val="00C30186"/>
    <w:rsid w:val="00CB4405"/>
    <w:rsid w:val="00CE6CB2"/>
    <w:rsid w:val="00CF3E09"/>
    <w:rsid w:val="00D83B4E"/>
    <w:rsid w:val="00DD18FD"/>
    <w:rsid w:val="00DE2669"/>
    <w:rsid w:val="00E5387C"/>
    <w:rsid w:val="00EF2C73"/>
    <w:rsid w:val="00F30077"/>
    <w:rsid w:val="00F3169B"/>
    <w:rsid w:val="00F63278"/>
    <w:rsid w:val="00FE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2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2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E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E2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65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45430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543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5430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5430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5430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4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2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2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E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E2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65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45430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543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5430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5430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5430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4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Ares%20Lin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Ares%20Lin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Ares%20Lin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Azioni%20di%20miglioramento\Report%20azioni%20miglioramento\ADM_Ares%20Li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ADM1_2_IMBOTTITA!$C$41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ADM1_2_IMBOTTITA!$A$42:$A$47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Marine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ADM1_2_IMBOTTITA!$C$42:$C$47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ADM1_2_IMBOTTITA!$D$41</c:f>
              <c:strCache>
                <c:ptCount val="1"/>
                <c:pt idx="0">
                  <c:v>5% cartone</c:v>
                </c:pt>
              </c:strCache>
            </c:strRef>
          </c:tx>
          <c:invertIfNegative val="0"/>
          <c:cat>
            <c:strRef>
              <c:f>ADM1_2_IMBOTTITA!$A$42:$A$47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Marine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ADM1_2_IMBOTTITA!$D$42:$D$47</c:f>
              <c:numCache>
                <c:formatCode>0.0%</c:formatCode>
                <c:ptCount val="6"/>
                <c:pt idx="0">
                  <c:v>0.9968455678333239</c:v>
                </c:pt>
                <c:pt idx="1">
                  <c:v>0.99907646387479754</c:v>
                </c:pt>
                <c:pt idx="2">
                  <c:v>0.99819808012405742</c:v>
                </c:pt>
                <c:pt idx="3">
                  <c:v>0.99821177689993634</c:v>
                </c:pt>
                <c:pt idx="4">
                  <c:v>0.9946084334113986</c:v>
                </c:pt>
                <c:pt idx="5">
                  <c:v>0.97675746222936766</c:v>
                </c:pt>
              </c:numCache>
            </c:numRef>
          </c:val>
        </c:ser>
        <c:ser>
          <c:idx val="2"/>
          <c:order val="2"/>
          <c:tx>
            <c:strRef>
              <c:f>ADM1_2_IMBOTTITA!$E$41</c:f>
              <c:strCache>
                <c:ptCount val="1"/>
                <c:pt idx="0">
                  <c:v>10% plastica</c:v>
                </c:pt>
              </c:strCache>
            </c:strRef>
          </c:tx>
          <c:invertIfNegative val="0"/>
          <c:cat>
            <c:strRef>
              <c:f>ADM1_2_IMBOTTITA!$A$42:$A$47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Marine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ADM1_2_IMBOTTITA!$E$42:$E$47</c:f>
              <c:numCache>
                <c:formatCode>0.0%</c:formatCode>
                <c:ptCount val="6"/>
                <c:pt idx="0">
                  <c:v>0.99651710220063427</c:v>
                </c:pt>
                <c:pt idx="1">
                  <c:v>0.99738805626441085</c:v>
                </c:pt>
                <c:pt idx="2">
                  <c:v>0.99574430268743985</c:v>
                </c:pt>
                <c:pt idx="3">
                  <c:v>0.9971474547881608</c:v>
                </c:pt>
                <c:pt idx="4">
                  <c:v>0.99779811340935476</c:v>
                </c:pt>
                <c:pt idx="5" formatCode="0.00%">
                  <c:v>0.99951645136423262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500096"/>
        <c:axId val="187910976"/>
      </c:barChart>
      <c:catAx>
        <c:axId val="15450009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800"/>
            </a:pPr>
            <a:endParaRPr lang="it-IT"/>
          </a:p>
        </c:txPr>
        <c:crossAx val="187910976"/>
        <c:crosses val="autoZero"/>
        <c:auto val="1"/>
        <c:lblAlgn val="ctr"/>
        <c:lblOffset val="100"/>
        <c:noMultiLvlLbl val="0"/>
      </c:catAx>
      <c:valAx>
        <c:axId val="187910976"/>
        <c:scaling>
          <c:orientation val="minMax"/>
          <c:max val="1"/>
          <c:min val="0.8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54500096"/>
        <c:crosses val="autoZero"/>
        <c:crossBetween val="between"/>
        <c:minorUnit val="5.000000000000001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ADM4_IMBOTTITA!$C$41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ADM4_IMBOTTITA!$A$42:$A$47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Marine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ADM4_IMBOTTITA!$C$42:$C$47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ADM4_IMBOTTITA!$D$41</c:f>
              <c:strCache>
                <c:ptCount val="1"/>
                <c:pt idx="0">
                  <c:v>5O% Riciclata</c:v>
                </c:pt>
              </c:strCache>
            </c:strRef>
          </c:tx>
          <c:invertIfNegative val="0"/>
          <c:cat>
            <c:strRef>
              <c:f>ADM4_IMBOTTITA!$A$42:$A$47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Marine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ADM4_IMBOTTITA!$D$42:$D$47</c:f>
              <c:numCache>
                <c:formatCode>0.0%</c:formatCode>
                <c:ptCount val="6"/>
                <c:pt idx="0">
                  <c:v>0.95226773786642183</c:v>
                </c:pt>
                <c:pt idx="1">
                  <c:v>0.95943063431027187</c:v>
                </c:pt>
                <c:pt idx="2">
                  <c:v>0.93007968382247863</c:v>
                </c:pt>
                <c:pt idx="3">
                  <c:v>0.9555086879365281</c:v>
                </c:pt>
                <c:pt idx="4">
                  <c:v>0.96683456444521465</c:v>
                </c:pt>
                <c:pt idx="5">
                  <c:v>0.99397013708732351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5558144"/>
        <c:axId val="187913280"/>
      </c:barChart>
      <c:catAx>
        <c:axId val="21555814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800"/>
            </a:pPr>
            <a:endParaRPr lang="it-IT"/>
          </a:p>
        </c:txPr>
        <c:crossAx val="187913280"/>
        <c:crosses val="autoZero"/>
        <c:auto val="1"/>
        <c:lblAlgn val="ctr"/>
        <c:lblOffset val="100"/>
        <c:noMultiLvlLbl val="0"/>
      </c:catAx>
      <c:valAx>
        <c:axId val="187913280"/>
        <c:scaling>
          <c:orientation val="minMax"/>
          <c:max val="1"/>
          <c:min val="0.8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215558144"/>
        <c:crosses val="autoZero"/>
        <c:crossBetween val="between"/>
        <c:minorUnit val="5.000000000000001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ADM1_2_RETE!$C$41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ADM1_2_RETE!$A$42:$A$47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Marine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ADM1_2_RETE!$C$42:$C$47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ADM1_2_RETE!$D$41</c:f>
              <c:strCache>
                <c:ptCount val="1"/>
                <c:pt idx="0">
                  <c:v>5% cartone</c:v>
                </c:pt>
              </c:strCache>
            </c:strRef>
          </c:tx>
          <c:invertIfNegative val="0"/>
          <c:cat>
            <c:strRef>
              <c:f>ADM1_2_RETE!$A$42:$A$47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Marine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ADM1_2_RETE!$D$42:$D$47</c:f>
              <c:numCache>
                <c:formatCode>0.0%</c:formatCode>
                <c:ptCount val="6"/>
                <c:pt idx="0">
                  <c:v>0.99895818872171704</c:v>
                </c:pt>
                <c:pt idx="1">
                  <c:v>0.99967827714076385</c:v>
                </c:pt>
                <c:pt idx="2">
                  <c:v>0.99938244298491163</c:v>
                </c:pt>
                <c:pt idx="3">
                  <c:v>0.99939731337882642</c:v>
                </c:pt>
                <c:pt idx="4">
                  <c:v>0.9983545430247931</c:v>
                </c:pt>
                <c:pt idx="5">
                  <c:v>0.98792526586564622</c:v>
                </c:pt>
              </c:numCache>
            </c:numRef>
          </c:val>
        </c:ser>
        <c:ser>
          <c:idx val="2"/>
          <c:order val="2"/>
          <c:tx>
            <c:strRef>
              <c:f>ADM1_2_RETE!$E$41</c:f>
              <c:strCache>
                <c:ptCount val="1"/>
                <c:pt idx="0">
                  <c:v>10% plastica</c:v>
                </c:pt>
              </c:strCache>
            </c:strRef>
          </c:tx>
          <c:invertIfNegative val="0"/>
          <c:cat>
            <c:strRef>
              <c:f>ADM1_2_RETE!$A$42:$A$47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Marine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ADM1_2_RETE!$E$42:$E$47</c:f>
              <c:numCache>
                <c:formatCode>0.0%</c:formatCode>
                <c:ptCount val="6"/>
                <c:pt idx="0">
                  <c:v>0.99884978071620933</c:v>
                </c:pt>
                <c:pt idx="1">
                  <c:v>0.99909006908961839</c:v>
                </c:pt>
                <c:pt idx="2">
                  <c:v>0.99854151224142096</c:v>
                </c:pt>
                <c:pt idx="3">
                  <c:v>0.99903856927949208</c:v>
                </c:pt>
                <c:pt idx="4">
                  <c:v>0.99932799757326529</c:v>
                </c:pt>
                <c:pt idx="5" formatCode="0.00%">
                  <c:v>0.99974879157880536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406272"/>
        <c:axId val="187915008"/>
      </c:barChart>
      <c:catAx>
        <c:axId val="3640627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800"/>
            </a:pPr>
            <a:endParaRPr lang="it-IT"/>
          </a:p>
        </c:txPr>
        <c:crossAx val="187915008"/>
        <c:crosses val="autoZero"/>
        <c:auto val="1"/>
        <c:lblAlgn val="ctr"/>
        <c:lblOffset val="100"/>
        <c:noMultiLvlLbl val="0"/>
      </c:catAx>
      <c:valAx>
        <c:axId val="187915008"/>
        <c:scaling>
          <c:orientation val="minMax"/>
          <c:max val="1"/>
          <c:min val="0.8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36406272"/>
        <c:crosses val="autoZero"/>
        <c:crossBetween val="between"/>
        <c:minorUnit val="5.000000000000001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ADM4_RETE!$C$41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ADM4_RETE!$A$42:$A$47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Marine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ADM4_RETE!$C$42:$C$47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ADM4_RETE!$D$41</c:f>
              <c:strCache>
                <c:ptCount val="1"/>
                <c:pt idx="0">
                  <c:v>5O% Riciclata</c:v>
                </c:pt>
              </c:strCache>
            </c:strRef>
          </c:tx>
          <c:invertIfNegative val="0"/>
          <c:cat>
            <c:strRef>
              <c:f>ADM4_RETE!$A$42:$A$47</c:f>
              <c:strCache>
                <c:ptCount val="6"/>
                <c:pt idx="0">
                  <c:v>Climate change, total</c:v>
                </c:pt>
                <c:pt idx="1">
                  <c:v>Particulate matter</c:v>
                </c:pt>
                <c:pt idx="2">
                  <c:v>Photochemical ozone formation</c:v>
                </c:pt>
                <c:pt idx="3">
                  <c:v>Acidification</c:v>
                </c:pt>
                <c:pt idx="4">
                  <c:v>Marine eutrophication</c:v>
                </c:pt>
                <c:pt idx="5">
                  <c:v>Mineral, fossil &amp; ren resource depletion</c:v>
                </c:pt>
              </c:strCache>
            </c:strRef>
          </c:cat>
          <c:val>
            <c:numRef>
              <c:f>ADM4_RETE!$D$42:$D$47</c:f>
              <c:numCache>
                <c:formatCode>0.0%</c:formatCode>
                <c:ptCount val="6"/>
                <c:pt idx="0">
                  <c:v>0.98050069981975896</c:v>
                </c:pt>
                <c:pt idx="1">
                  <c:v>0.9654771984738757</c:v>
                </c:pt>
                <c:pt idx="2">
                  <c:v>0.98086017953143545</c:v>
                </c:pt>
                <c:pt idx="3">
                  <c:v>0.98118003588437375</c:v>
                </c:pt>
                <c:pt idx="4">
                  <c:v>0.962582553226347</c:v>
                </c:pt>
                <c:pt idx="5">
                  <c:v>0.99600503678077812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499584"/>
        <c:axId val="187922048"/>
      </c:barChart>
      <c:catAx>
        <c:axId val="15449958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800"/>
            </a:pPr>
            <a:endParaRPr lang="it-IT"/>
          </a:p>
        </c:txPr>
        <c:crossAx val="187922048"/>
        <c:crosses val="autoZero"/>
        <c:auto val="1"/>
        <c:lblAlgn val="ctr"/>
        <c:lblOffset val="100"/>
        <c:noMultiLvlLbl val="0"/>
      </c:catAx>
      <c:valAx>
        <c:axId val="187922048"/>
        <c:scaling>
          <c:orientation val="minMax"/>
          <c:max val="1"/>
          <c:min val="0.8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54499584"/>
        <c:crosses val="autoZero"/>
        <c:crossBetween val="between"/>
        <c:minorUnit val="5.000000000000001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784DCB-FAB4-49C5-918D-53222B6D6991}"/>
</file>

<file path=customXml/itemProps2.xml><?xml version="1.0" encoding="utf-8"?>
<ds:datastoreItem xmlns:ds="http://schemas.openxmlformats.org/officeDocument/2006/customXml" ds:itemID="{9234F447-190F-400B-B848-9C448C8279FC}"/>
</file>

<file path=customXml/itemProps3.xml><?xml version="1.0" encoding="utf-8"?>
<ds:datastoreItem xmlns:ds="http://schemas.openxmlformats.org/officeDocument/2006/customXml" ds:itemID="{E59C19B5-805F-4AE7-B5CD-79872845BE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e.baldereschi</cp:lastModifiedBy>
  <cp:revision>18</cp:revision>
  <dcterms:created xsi:type="dcterms:W3CDTF">2019-07-11T12:59:00Z</dcterms:created>
  <dcterms:modified xsi:type="dcterms:W3CDTF">2019-09-19T16:03:00Z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