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280"/>
      </w:pPr>
      <w:r>
        <w:t xml:space="preserve">Personalização, reuso e arquitetura — MyWallet</w:t>
      </w:r>
    </w:p>
    <w:p>
      <w:pPr>
        <w:spacing w:after="160"/>
      </w:pPr>
      <w:r>
        <w:t xml:space="preserve">Documento da atividade: (1) inventário das interfaces de alta variação do protótipo, (2) a função exclusiva de um cliente específico e como ela fica isolada das demais, e (3) a pesquisa da arquitetura de desenvolvimento mais adequada ao projeto para alta personalização com foco em reuso.</w:t>
      </w:r>
    </w:p>
    <w:p>
      <w:pPr>
        <w:pStyle w:val="Heading2"/>
        <w:spacing w:after="160"/>
      </w:pPr>
      <w:r>
        <w:t xml:space="preserve">1. Três eixos de personalização, não um só</w:t>
      </w:r>
    </w:p>
    <w:p>
      <w:pPr>
        <w:spacing w:after="160"/>
      </w:pPr>
      <w:r>
        <w:t xml:space="preserve">A atividade permite variar por função em tela, por usuário com acesso específico, ou por módulo exclusivo de cliente. O MyWallet usa os três ao mesmo tempo, como camadas </w:t>
      </w:r>
      <w:r>
        <w:rPr>
          <w:b/>
        </w:rPr>
        <w:t xml:space="preserve">independentes e compostas</w:t>
      </w:r>
      <w:r>
        <w:t xml:space="preserve"> — cada uma resolvida por um hook central, nunca por </w:t>
      </w:r>
      <w:r>
        <w:rPr>
          <w:rFonts w:ascii="Consolas" w:hAnsi="Consolas"/>
          <w:color w:val="AF0060"/>
          <w:shd w:val="clear" w:fill="F5F0F2"/>
        </w:rPr>
        <w:t xml:space="preserve">if</w:t>
      </w:r>
      <w:r>
        <w:t xml:space="preserve">s espalhados pelas telas:</w:t>
      </w:r>
    </w:p>
    <w:tbl>
      <w:tblPr>
        <w:tblStyle w:val="TableGrid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Eixo</w:t>
            </w:r>
          </w:p>
        </w:tc>
        <w:tc>
          <w:tcPr>
            <w:tcW w:w="234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Pergunta que responde</w:t>
            </w:r>
          </w:p>
        </w:tc>
        <w:tc>
          <w:tcPr>
            <w:tcW w:w="234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Onde mora o dado</w:t>
            </w:r>
          </w:p>
        </w:tc>
        <w:tc>
          <w:tcPr>
            <w:tcW w:w="234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Hook central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role</w:t>
            </w:r>
            <w:r>
              <w:rPr/>
              <w:t xml:space="preserve"> — </w:t>
            </w:r>
            <w:r>
              <w:rPr>
                <w:rFonts w:ascii="Consolas" w:hAnsi="Consolas"/>
                <w:color w:val="AF0060"/>
              </w:rPr>
              <w:t xml:space="preserve">investor</w:t>
            </w:r>
            <w:r>
              <w:rPr/>
              <w:t xml:space="preserve"> | </w:t>
            </w:r>
            <w:r>
              <w:rPr>
                <w:rFonts w:ascii="Consolas" w:hAnsi="Consolas"/>
                <w:color w:val="AF0060"/>
              </w:rPr>
              <w:t xml:space="preserve">analyst</w:t>
            </w:r>
            <w:r>
              <w:rPr/>
              <w:t xml:space="preserve"> | </w:t>
            </w:r>
            <w:r>
              <w:rPr>
                <w:rFonts w:ascii="Consolas" w:hAnsi="Consolas"/>
                <w:color w:val="AF0060"/>
              </w:rPr>
              <w:t xml:space="preserve">admin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O que essa pessoa pode </w:t>
            </w:r>
            <w:r>
              <w:rPr>
                <w:i/>
              </w:rPr>
              <w:t xml:space="preserve">fazer</w:t>
            </w:r>
            <w:r>
              <w:rPr/>
              <w:t xml:space="preserve">?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User.role</w:t>
            </w:r>
            <w:r>
              <w:rPr/>
              <w:t xml:space="preserve"> (banco)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navFor(role, accountType)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plan</w:t>
            </w:r>
            <w:r>
              <w:rPr/>
              <w:t xml:space="preserve"> — </w:t>
            </w:r>
            <w:r>
              <w:rPr>
                <w:rFonts w:ascii="Consolas" w:hAnsi="Consolas"/>
                <w:color w:val="AF0060"/>
              </w:rPr>
              <w:t xml:space="preserve">Standard</w:t>
            </w:r>
            <w:r>
              <w:rPr/>
              <w:t xml:space="preserve"> | </w:t>
            </w:r>
            <w:r>
              <w:rPr>
                <w:rFonts w:ascii="Consolas" w:hAnsi="Consolas"/>
                <w:color w:val="AF0060"/>
              </w:rPr>
              <w:t xml:space="preserve">Platinum</w:t>
            </w:r>
            <w:r>
              <w:rPr/>
              <w:t xml:space="preserve"> | </w:t>
            </w:r>
            <w:r>
              <w:rPr>
                <w:rFonts w:ascii="Consolas" w:hAnsi="Consolas"/>
                <w:color w:val="AF0060"/>
              </w:rPr>
              <w:t xml:space="preserve">Black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O que a assinatura paga </w:t>
            </w:r>
            <w:r>
              <w:rPr>
                <w:i/>
              </w:rPr>
              <w:t xml:space="preserve">libera</w:t>
            </w:r>
            <w:r>
              <w:rPr/>
              <w:t xml:space="preserve">?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estado de sessão (simulável em </w:t>
            </w:r>
            <w:r>
              <w:rPr>
                <w:rFonts w:ascii="Consolas" w:hAnsi="Consolas"/>
                <w:color w:val="AF0060"/>
              </w:rPr>
              <w:t xml:space="preserve">/plans</w:t>
            </w:r>
            <w:r>
              <w:rPr/>
              <w:t xml:space="preserve">)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usePlanGating()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accountType</w:t>
            </w:r>
            <w:r>
              <w:rPr/>
              <w:t xml:space="preserve"> — </w:t>
            </w:r>
            <w:r>
              <w:rPr>
                <w:rFonts w:ascii="Consolas" w:hAnsi="Consolas"/>
                <w:color w:val="AF0060"/>
              </w:rPr>
              <w:t xml:space="preserve">Individual</w:t>
            </w:r>
            <w:r>
              <w:rPr/>
              <w:t xml:space="preserve"> | </w:t>
            </w:r>
            <w:r>
              <w:rPr>
                <w:rFonts w:ascii="Consolas" w:hAnsi="Consolas"/>
                <w:color w:val="AF0060"/>
              </w:rPr>
              <w:t xml:space="preserve">Institutional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Esse cliente tem acesso a este </w:t>
            </w:r>
            <w:r>
              <w:rPr>
                <w:i/>
              </w:rPr>
              <w:t xml:space="preserve">módulo inteiro</w:t>
            </w:r>
            <w:r>
              <w:rPr/>
              <w:t xml:space="preserve">?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User.accountType</w:t>
            </w:r>
            <w:r>
              <w:rPr/>
              <w:t xml:space="preserve"> (banco)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useInstitutionalAccess()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Consolas" w:hAnsi="Consolas"/>
          <w:color w:val="AF0060"/>
          <w:shd w:val="clear" w:fill="F5F0F2"/>
        </w:rPr>
        <w:t xml:space="preserve">role</w:t>
      </w:r>
      <w:r>
        <w:t xml:space="preserve"> e </w:t>
      </w:r>
      <w:r>
        <w:rPr>
          <w:rFonts w:ascii="Consolas" w:hAnsi="Consolas"/>
          <w:color w:val="AF0060"/>
          <w:shd w:val="clear" w:fill="F5F0F2"/>
        </w:rPr>
        <w:t xml:space="preserve">plan</w:t>
      </w:r>
      <w:r>
        <w:t xml:space="preserve"> já existiam no projeto. </w:t>
      </w:r>
      <w:r>
        <w:rPr>
          <w:rFonts w:ascii="Consolas" w:hAnsi="Consolas"/>
          <w:color w:val="AF0060"/>
          <w:shd w:val="clear" w:fill="F5F0F2"/>
        </w:rPr>
        <w:t xml:space="preserve">accountType</w:t>
      </w:r>
      <w:r>
        <w:t xml:space="preserve"> foi adicionado para atender literalmente o requisito "nem todos os clientes terão a mesma opção": é o único eixo dos três que não depende de quem a pessoa é (role) nem de quanto ela paga (plan) — depende só de qual </w:t>
      </w:r>
      <w:r>
        <w:rPr>
          <w:i/>
        </w:rPr>
        <w:t xml:space="preserve">segmento de cliente</w:t>
      </w:r>
      <w:r>
        <w:t xml:space="preserve"> ela é, exatamente como uma feature enterprise-only num SaaS B2B.</w:t>
      </w:r>
    </w:p>
    <w:p>
      <w:pPr>
        <w:pStyle w:val="Heading2"/>
        <w:spacing w:after="160"/>
      </w:pPr>
      <w:r>
        <w:t xml:space="preserve">2. As 15 interfaces de alta variação</w:t>
      </w:r>
    </w:p>
    <w:tbl>
      <w:tblPr>
        <w:tblStyle w:val="TableGrid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234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Tela</w:t>
            </w:r>
          </w:p>
        </w:tc>
        <w:tc>
          <w:tcPr>
            <w:tcW w:w="234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Rota</w:t>
            </w:r>
          </w:p>
        </w:tc>
        <w:tc>
          <w:tcPr>
            <w:tcW w:w="234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Eixo de variação demonstrado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1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Login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pública; redireciona por </w:t>
            </w:r>
            <w:r>
              <w:rPr>
                <w:rFonts w:ascii="Consolas" w:hAnsi="Consolas"/>
                <w:color w:val="AF0060"/>
              </w:rPr>
              <w:t xml:space="preserve">role</w:t>
            </w:r>
            <w:r>
              <w:rPr/>
              <w:t xml:space="preserve"> após autenticar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Cadastro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/signup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pública; onboarding de novo cliente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Teste de perfil de investidor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/quiz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fluxo multi-etapas, sem exigir login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4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Resultado do teste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/quiz/result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recomendação personalizada por perfil de risco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5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Dashboard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/dashboard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role investor; agrega 3 módulos (wallets+goals+performance)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6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Carteiras (plano Standard)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/wallets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bloqueio por plano</w:t>
            </w:r>
            <w:r>
              <w:rPr/>
              <w:t xml:space="preserve"> — banner de limite de 2 carteiras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7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Detalhe de carteira (Platinum/Black)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/wallets/[id]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mesma tela, sem limite — dado real muda o resultado exibido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8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Metas financeiras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/goals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bloqueio por plano</w:t>
            </w:r>
            <w:r>
              <w:rPr/>
              <w:t xml:space="preserve"> — tela inteira vira paywall (</w:t>
            </w:r>
            <w:r>
              <w:rPr>
                <w:rFonts w:ascii="Consolas" w:hAnsi="Consolas"/>
                <w:color w:val="AF0060"/>
              </w:rPr>
              <w:t xml:space="preserve">LockedFeature</w:t>
            </w:r>
            <w:r>
              <w:rPr/>
              <w:t xml:space="preserve">) no Standard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9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Extrato de transações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/transactions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bloqueio por plano, mas em padrão de tabela (não paywall centralizado)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10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Portal de notícias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/news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pública, sem sessão — recurso "para todos"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11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Estúdio do analista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/analyst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exclusivo role analyst</w:t>
            </w:r>
            <w:r>
              <w:rPr/>
              <w:t xml:space="preserve"> — editor de conteúdo (CRUD), não dashboard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12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Administração de usuários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/admin</w:t>
            </w:r>
            <w:r>
              <w:rPr/>
              <w:t xml:space="preserve"> + </w:t>
            </w:r>
            <w:r>
              <w:rPr>
                <w:rFonts w:ascii="Consolas" w:hAnsi="Consolas"/>
                <w:color w:val="AF0060"/>
              </w:rPr>
              <w:t xml:space="preserve">/admin/[id]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exclusivo role admin</w:t>
            </w:r>
            <w:r>
              <w:rPr/>
              <w:t xml:space="preserve"> — tabela de gestão + permissões granulares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13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Comparativo de planos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/plans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upsell/pricing; gatilho de todo o eixo </w:t>
            </w:r>
            <w:r>
              <w:rPr>
                <w:rFonts w:ascii="Consolas" w:hAnsi="Consolas"/>
                <w:color w:val="AF0060"/>
              </w:rPr>
              <w:t xml:space="preserve">plan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14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Mesa institucional — equipe</w:t>
            </w:r>
            <w:r>
              <w:rPr/>
              <w:t xml:space="preserve"> (novo)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/institutional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exclusivo `accountType=Institutional`</w:t>
            </w:r>
            <w:r>
              <w:rPr/>
              <w:t xml:space="preserve"> — gestão de operadores, padrão inédito no app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after="0"/>
            </w:pPr>
            <w:r>
              <w:rPr/>
              <w:t xml:space="preserve">15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Mesa institucional — relatório consolidado</w:t>
            </w:r>
            <w:r>
              <w:rPr/>
              <w:t xml:space="preserve"> (novo)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AF0060"/>
              </w:rPr>
              <w:t xml:space="preserve">/institutional/reports</w:t>
            </w:r>
          </w:p>
        </w:tc>
        <w:tc>
          <w:tcPr>
            <w:tcW w:w="2340" w:type="dxa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exclusivo `accountType=Institutional`</w:t>
            </w:r>
            <w:r>
              <w:rPr/>
              <w:t xml:space="preserve"> — agrega dados de outro módulo (</w:t>
            </w:r>
            <w:r>
              <w:rPr>
                <w:rFonts w:ascii="Consolas" w:hAnsi="Consolas"/>
                <w:color w:val="AF0060"/>
              </w:rPr>
              <w:t xml:space="preserve">wallets</w:t>
            </w:r>
            <w:r>
              <w:rPr/>
              <w:t xml:space="preserve">), export de fachada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Isso é mais que as 10-13 pedidas de propósito, para cobrir com folga os três eixos e ainda ter variação de </w:t>
      </w:r>
      <w:r>
        <w:rPr>
          <w:i/>
        </w:rPr>
        <w:t xml:space="preserve">padrão</w:t>
      </w:r>
      <w:r>
        <w:t xml:space="preserve"> de interface (formulário, paywall, tabela, editor, wizard, agregação/relatório) — não só cor ou texto.</w:t>
      </w:r>
    </w:p>
    <w:p>
      <w:pPr>
        <w:pStyle w:val="Heading2"/>
        <w:spacing w:after="160"/>
      </w:pPr>
      <w:r>
        <w:t xml:space="preserve">3. A função exclusiva de um cliente específico — mesa institucional</w:t>
      </w:r>
    </w:p>
    <w:p>
      <w:pPr>
        <w:spacing w:after="160"/>
      </w:pPr>
      <w:r>
        <w:rPr>
          <w:b/>
        </w:rPr>
        <w:t xml:space="preserve">Cliente:</w:t>
      </w:r>
      <w:r>
        <w:t xml:space="preserve"> apenas a conta seed </w:t>
      </w:r>
      <w:r>
        <w:rPr>
          <w:rFonts w:ascii="Consolas" w:hAnsi="Consolas"/>
          <w:color w:val="AF0060"/>
          <w:shd w:val="clear" w:fill="F5F0F2"/>
        </w:rPr>
        <w:t xml:space="preserve">carla.mendes@mywallet.io</w:t>
      </w:r>
      <w:r>
        <w:t xml:space="preserve"> tem </w:t>
      </w:r>
      <w:r>
        <w:rPr>
          <w:rFonts w:ascii="Consolas" w:hAnsi="Consolas"/>
          <w:color w:val="AF0060"/>
          <w:shd w:val="clear" w:fill="F5F0F2"/>
        </w:rPr>
        <w:t xml:space="preserve">accountType="Institutional"</w:t>
      </w:r>
      <w:r>
        <w:t xml:space="preserve">. Para qualquer outra conta — mesmo um investidor Black pagando o plano mais caro — o módulo </w:t>
      </w:r>
      <w:r>
        <w:rPr>
          <w:b/>
        </w:rPr>
        <w:t xml:space="preserve">não existe</w:t>
      </w:r>
      <w:r>
        <w:t xml:space="preserve">: o item "Institutional desk" nem aparece no menu (</w:t>
      </w:r>
      <w:r>
        <w:rPr>
          <w:rFonts w:ascii="Consolas" w:hAnsi="Consolas"/>
          <w:color w:val="AF0060"/>
          <w:shd w:val="clear" w:fill="F5F0F2"/>
        </w:rPr>
        <w:t xml:space="preserve">nav.ts</w:t>
      </w:r>
      <w:r>
        <w:t xml:space="preserve"> só o injeta quando </w:t>
      </w:r>
      <w:r>
        <w:rPr>
          <w:rFonts w:ascii="Consolas" w:hAnsi="Consolas"/>
          <w:color w:val="AF0060"/>
          <w:shd w:val="clear" w:fill="F5F0F2"/>
        </w:rPr>
        <w:t xml:space="preserve">accountType === "Institutional"</w:t>
      </w:r>
      <w:r>
        <w:t xml:space="preserve">), e navegar direto pela URL mostra uma tela de bloqueio (</w:t>
      </w:r>
      <w:r>
        <w:rPr>
          <w:rFonts w:ascii="Consolas" w:hAnsi="Consolas"/>
          <w:color w:val="AF0060"/>
          <w:shd w:val="clear" w:fill="F5F0F2"/>
        </w:rPr>
        <w:t xml:space="preserve">Alert</w:t>
      </w:r>
      <w:r>
        <w:t xml:space="preserve">), nunca um crash ou 404 cru.</w:t>
      </w:r>
    </w:p>
    <w:p>
      <w:pPr>
        <w:spacing w:after="160"/>
      </w:pPr>
      <w:r>
        <w:rPr>
          <w:b/>
        </w:rPr>
        <w:t xml:space="preserve">A função:</w:t>
      </w:r>
      <w:r>
        <w:t xml:space="preserve"> duas telas que não fazem sentido para um cliente pessoa física —</w:t>
      </w:r>
    </w:p>
    <w:p>
      <w:pPr>
        <w:spacing w:after="160"/>
      </w:pPr>
      <w:r>
        <w:t xml:space="preserve">- gestão de </w:t>
      </w:r>
      <w:r>
        <w:rPr>
          <w:b/>
        </w:rPr>
        <w:t xml:space="preserve">operadores com acesso delegado</w:t>
      </w:r>
      <w:r>
        <w:t xml:space="preserve"> à conta (equipe: Trader/Compliance/Viewer), algo que só existe quando a "conta" representa uma organização, não uma pessoa;</w:t>
      </w:r>
    </w:p>
    <w:p>
      <w:pPr>
        <w:spacing w:after="160"/>
      </w:pPr>
      <w:r>
        <w:t xml:space="preserve">- </w:t>
      </w:r>
      <w:r>
        <w:rPr>
          <w:b/>
        </w:rPr>
        <w:t xml:space="preserve">relatório consolidado multi-carteira</w:t>
      </w:r>
      <w:r>
        <w:t xml:space="preserve"> com exportação PDF/CSV, no padrão de relatório de compliance, não de dashboard pessoal.</w:t>
      </w:r>
    </w:p>
    <w:p>
      <w:pPr>
        <w:spacing w:after="160"/>
      </w:pPr>
      <w:r>
        <w:rPr>
          <w:b/>
        </w:rPr>
        <w:t xml:space="preserve">Como fica isolada arquiteturalmente (não só escondida na UI):</w:t>
      </w:r>
    </w:p>
    <w:p>
      <w:pPr>
        <w:spacing w:after="160"/>
      </w:pPr>
      <w:r>
        <w:t xml:space="preserve">- Vive inteira em </w:t>
      </w:r>
      <w:r>
        <w:rPr>
          <w:rFonts w:ascii="Consolas" w:hAnsi="Consolas"/>
          <w:color w:val="AF0060"/>
          <w:shd w:val="clear" w:fill="F5F0F2"/>
        </w:rPr>
        <w:t xml:space="preserve">src/modules/institutional/</w:t>
      </w:r>
      <w:r>
        <w:t xml:space="preserve"> — módulo próprio com seu Context (</w:t>
      </w:r>
      <w:r>
        <w:rPr>
          <w:rFonts w:ascii="Consolas" w:hAnsi="Consolas"/>
          <w:color w:val="AF0060"/>
          <w:shd w:val="clear" w:fill="F5F0F2"/>
        </w:rPr>
        <w:t xml:space="preserve">TeamContext</w:t>
      </w:r>
      <w:r>
        <w:t xml:space="preserve">), tipos e componentes, seguindo a mesma regra que todo módulo de feature do projeto já segue (documentada em </w:t>
      </w:r>
      <w:r>
        <w:rPr>
          <w:rFonts w:ascii="Consolas" w:hAnsi="Consolas"/>
          <w:color w:val="AF0060"/>
          <w:shd w:val="clear" w:fill="F5F0F2"/>
        </w:rPr>
        <w:t xml:space="preserve">PROJECT_STRUCTURE.md</w:t>
      </w:r>
      <w:r>
        <w:t xml:space="preserve">): </w:t>
      </w:r>
      <w:r>
        <w:rPr>
          <w:b/>
        </w:rPr>
        <w:t xml:space="preserve">só pode depender de `core`</w:t>
      </w:r>
      <w:r>
        <w:t xml:space="preserve">, nunca de outro módulo de feature diretamente. A única exceção é o relatório lendo </w:t>
      </w:r>
      <w:r>
        <w:rPr>
          <w:rFonts w:ascii="Consolas" w:hAnsi="Consolas"/>
          <w:color w:val="AF0060"/>
          <w:shd w:val="clear" w:fill="F5F0F2"/>
        </w:rPr>
        <w:t xml:space="preserve">useWallets()</w:t>
      </w:r>
      <w:r>
        <w:t xml:space="preserve"> — o mesmo tipo de exceção pontual e documentada que </w:t>
      </w:r>
      <w:r>
        <w:rPr>
          <w:rFonts w:ascii="Consolas" w:hAnsi="Consolas"/>
          <w:color w:val="AF0060"/>
          <w:shd w:val="clear" w:fill="F5F0F2"/>
        </w:rPr>
        <w:t xml:space="preserve">analyst/</w:t>
      </w:r>
      <w:r>
        <w:t xml:space="preserve"> já faz hoje ao reaproveitar </w:t>
      </w:r>
      <w:r>
        <w:rPr>
          <w:rFonts w:ascii="Consolas" w:hAnsi="Consolas"/>
          <w:color w:val="AF0060"/>
          <w:shd w:val="clear" w:fill="F5F0F2"/>
        </w:rPr>
        <w:t xml:space="preserve">NewsContext</w:t>
      </w:r>
      <w:r>
        <w:t xml:space="preserve">.</w:t>
      </w:r>
    </w:p>
    <w:p>
      <w:pPr>
        <w:spacing w:after="160"/>
      </w:pPr>
      <w:r>
        <w:t xml:space="preserve">- Tem tabela própria no banco (</w:t>
      </w:r>
      <w:r>
        <w:rPr>
          <w:rFonts w:ascii="Consolas" w:hAnsi="Consolas"/>
          <w:color w:val="AF0060"/>
          <w:shd w:val="clear" w:fill="F5F0F2"/>
        </w:rPr>
        <w:t xml:space="preserve">TeamMember</w:t>
      </w:r>
      <w:r>
        <w:t xml:space="preserve">) e rotas de API próprias (</w:t>
      </w:r>
      <w:r>
        <w:rPr>
          <w:rFonts w:ascii="Consolas" w:hAnsi="Consolas"/>
          <w:color w:val="AF0060"/>
          <w:shd w:val="clear" w:fill="F5F0F2"/>
        </w:rPr>
        <w:t xml:space="preserve">/api/team</w:t>
      </w:r>
      <w:r>
        <w:t xml:space="preserve">, </w:t>
      </w:r>
      <w:r>
        <w:rPr>
          <w:rFonts w:ascii="Consolas" w:hAnsi="Consolas"/>
          <w:color w:val="AF0060"/>
          <w:shd w:val="clear" w:fill="F5F0F2"/>
        </w:rPr>
        <w:t xml:space="preserve">/api/team/[id]</w:t>
      </w:r>
      <w:r>
        <w:t xml:space="preserve">) — nenhuma outra tela ou módulo lê ou escreve nela.</w:t>
      </w:r>
    </w:p>
    <w:p>
      <w:pPr>
        <w:spacing w:after="160"/>
      </w:pPr>
      <w:r>
        <w:t xml:space="preserve">- O controle de acesso é um hook só (</w:t>
      </w:r>
      <w:r>
        <w:rPr>
          <w:rFonts w:ascii="Consolas" w:hAnsi="Consolas"/>
          <w:color w:val="AF0060"/>
          <w:shd w:val="clear" w:fill="F5F0F2"/>
        </w:rPr>
        <w:t xml:space="preserve">useInstitutionalAccess</w:t>
      </w:r>
      <w:r>
        <w:t xml:space="preserve">), não uma checagem duplicada em cada tela — se amanhã o critério mudar (por exemplo, virar um plano </w:t>
      </w:r>
      <w:r>
        <w:rPr>
          <w:rFonts w:ascii="Consolas" w:hAnsi="Consolas"/>
          <w:color w:val="AF0060"/>
          <w:shd w:val="clear" w:fill="F5F0F2"/>
        </w:rPr>
        <w:t xml:space="preserve">Enterprise</w:t>
      </w:r>
      <w:r>
        <w:t xml:space="preserve"> em vez de um segmento), muda-se num lugar só.</w:t>
      </w:r>
    </w:p>
    <w:p>
      <w:pPr>
        <w:spacing w:after="160"/>
      </w:pPr>
      <w:r>
        <w:t xml:space="preserve">- Consequência prática: para extrair essa mesa institucional como produto separado para um cliente que só quer isso, basta copiar </w:t>
      </w:r>
      <w:r>
        <w:rPr>
          <w:rFonts w:ascii="Consolas" w:hAnsi="Consolas"/>
          <w:color w:val="AF0060"/>
          <w:shd w:val="clear" w:fill="F5F0F2"/>
        </w:rPr>
        <w:t xml:space="preserve">core/</w:t>
      </w:r>
      <w:r>
        <w:t xml:space="preserve"> + </w:t>
      </w:r>
      <w:r>
        <w:rPr>
          <w:rFonts w:ascii="Consolas" w:hAnsi="Consolas"/>
          <w:color w:val="AF0060"/>
          <w:shd w:val="clear" w:fill="F5F0F2"/>
        </w:rPr>
        <w:t xml:space="preserve">institutional/</w:t>
      </w:r>
      <w:r>
        <w:t xml:space="preserve"> e escrever um </w:t>
      </w:r>
      <w:r>
        <w:rPr>
          <w:rFonts w:ascii="Consolas" w:hAnsi="Consolas"/>
          <w:color w:val="AF0060"/>
          <w:shd w:val="clear" w:fill="F5F0F2"/>
        </w:rPr>
        <w:t xml:space="preserve">AppProviders</w:t>
      </w:r>
      <w:r>
        <w:t xml:space="preserve"> menor — exatamente o argumento que o projeto já usa para justificar módulos por domínio em vez de por tipo de arquivo.</w:t>
      </w:r>
    </w:p>
    <w:p>
      <w:pPr>
        <w:pStyle w:val="Heading2"/>
        <w:spacing w:after="160"/>
      </w:pPr>
      <w:r>
        <w:t xml:space="preserve">4. Arquitetura pesquisada para alta personalização + reuso</w:t>
      </w:r>
    </w:p>
    <w:p>
      <w:pPr>
        <w:spacing w:after="160"/>
      </w:pPr>
      <w:r>
        <w:t xml:space="preserve">Pergunta da atividade: qual arquitetura (linguagem, SGBD, padrão de interfaces/componentes) melhor se encaixa nesse projeto. A resposta é justificar e formalizar o que o projeto já faz — um </w:t>
      </w:r>
      <w:r>
        <w:rPr>
          <w:b/>
        </w:rPr>
        <w:t xml:space="preserve">monólito modular por domínio</w:t>
      </w:r>
      <w:r>
        <w:t xml:space="preserve">, com três técnicas concretas de reuso:</w:t>
      </w:r>
    </w:p>
    <w:p>
      <w:pPr>
        <w:pStyle w:val="Heading3"/>
        <w:spacing w:after="120"/>
      </w:pPr>
      <w:r>
        <w:t xml:space="preserve">4.1 Linguagem: TypeScript fullstack (Next.js App Router)</w:t>
      </w:r>
    </w:p>
    <w:p>
      <w:pPr>
        <w:spacing w:after="160"/>
      </w:pPr>
      <w:r>
        <w:t xml:space="preserve">Uma única linguagem e um único runtime cobrem tela, hook de estado e rota de API (</w:t>
      </w:r>
      <w:r>
        <w:rPr>
          <w:rFonts w:ascii="Consolas" w:hAnsi="Consolas"/>
          <w:color w:val="AF0060"/>
          <w:shd w:val="clear" w:fill="F5F0F2"/>
        </w:rPr>
        <w:t xml:space="preserve">src/app/api/**/route.ts</w:t>
      </w:r>
      <w:r>
        <w:t xml:space="preserve">). O mesmo </w:t>
      </w:r>
      <w:r>
        <w:rPr>
          <w:rFonts w:ascii="Consolas" w:hAnsi="Consolas"/>
          <w:color w:val="AF0060"/>
          <w:shd w:val="clear" w:fill="F5F0F2"/>
        </w:rPr>
        <w:t xml:space="preserve">type</w:t>
      </w:r>
      <w:r>
        <w:t xml:space="preserve">/</w:t>
      </w:r>
      <w:r>
        <w:rPr>
          <w:rFonts w:ascii="Consolas" w:hAnsi="Consolas"/>
          <w:color w:val="AF0060"/>
          <w:shd w:val="clear" w:fill="F5F0F2"/>
        </w:rPr>
        <w:t xml:space="preserve">interface</w:t>
      </w:r>
      <w:r>
        <w:t xml:space="preserve"> (ex.: </w:t>
      </w:r>
      <w:r>
        <w:rPr>
          <w:rFonts w:ascii="Consolas" w:hAnsi="Consolas"/>
          <w:color w:val="AF0060"/>
          <w:shd w:val="clear" w:fill="F5F0F2"/>
        </w:rPr>
        <w:t xml:space="preserve">Wallet</w:t>
      </w:r>
      <w:r>
        <w:t xml:space="preserve">, </w:t>
      </w:r>
      <w:r>
        <w:rPr>
          <w:rFonts w:ascii="Consolas" w:hAnsi="Consolas"/>
          <w:color w:val="AF0060"/>
          <w:shd w:val="clear" w:fill="F5F0F2"/>
        </w:rPr>
        <w:t xml:space="preserve">TeamMember</w:t>
      </w:r>
      <w:r>
        <w:t xml:space="preserve">) é compartilhado entre o componente que renderiza, o Context que busca os dados e a rota que os retorna — elimina a duplicação de contrato client/server que existe em stacks poliglotas (ex.: front em TS + back em outra linguagem, contrato mantido "no olho"). Isso é o que torna barato adicionar um eixo de personalização novo (como </w:t>
      </w:r>
      <w:r>
        <w:rPr>
          <w:rFonts w:ascii="Consolas" w:hAnsi="Consolas"/>
          <w:color w:val="AF0060"/>
          <w:shd w:val="clear" w:fill="F5F0F2"/>
        </w:rPr>
        <w:t xml:space="preserve">accountType</w:t>
      </w:r>
      <w:r>
        <w:t xml:space="preserve">): um campo em um </w:t>
      </w:r>
      <w:r>
        <w:rPr>
          <w:rFonts w:ascii="Consolas" w:hAnsi="Consolas"/>
          <w:color w:val="AF0060"/>
          <w:shd w:val="clear" w:fill="F5F0F2"/>
        </w:rPr>
        <w:t xml:space="preserve">type</w:t>
      </w:r>
      <w:r>
        <w:t xml:space="preserve">, refletido automaticamente onde for usado.</w:t>
      </w:r>
    </w:p>
    <w:p>
      <w:pPr>
        <w:pStyle w:val="Heading3"/>
        <w:spacing w:after="120"/>
      </w:pPr>
      <w:r>
        <w:t xml:space="preserve">4.2 SGBD: SQLite via Prisma ORM (driver adapters)</w:t>
      </w:r>
    </w:p>
    <w:p>
      <w:pPr>
        <w:spacing w:after="160"/>
      </w:pPr>
      <w:r>
        <w:t xml:space="preserve">O banco físico (SQLite) é o menos importante da escolha — o que importa é a </w:t>
      </w:r>
      <w:r>
        <w:rPr>
          <w:b/>
        </w:rPr>
        <w:t xml:space="preserve">camada Prisma por cima</w:t>
      </w:r>
      <w:r>
        <w:t xml:space="preserve">, que abstrai o dialeto SQL. Trocar para Postgres ou MySQL em produção é mudar o </w:t>
      </w:r>
      <w:r>
        <w:rPr>
          <w:rFonts w:ascii="Consolas" w:hAnsi="Consolas"/>
          <w:color w:val="AF0060"/>
          <w:shd w:val="clear" w:fill="F5F0F2"/>
        </w:rPr>
        <w:t xml:space="preserve">datasource</w:t>
      </w:r>
      <w:r>
        <w:t xml:space="preserve"> do </w:t>
      </w:r>
      <w:r>
        <w:rPr>
          <w:rFonts w:ascii="Consolas" w:hAnsi="Consolas"/>
          <w:color w:val="AF0060"/>
          <w:shd w:val="clear" w:fill="F5F0F2"/>
        </w:rPr>
        <w:t xml:space="preserve">schema.prisma</w:t>
      </w:r>
      <w:r>
        <w:t xml:space="preserve">, sem tocar em nenhuma rota ou tela. Isso é diretamente relevante para personalização multi-cliente: o projeto usa </w:t>
      </w:r>
      <w:r>
        <w:rPr>
          <w:b/>
        </w:rPr>
        <w:t xml:space="preserve">schema único, discriminado por coluna</w:t>
      </w:r>
      <w:r>
        <w:t xml:space="preserve"> (</w:t>
      </w:r>
      <w:r>
        <w:rPr>
          <w:rFonts w:ascii="Consolas" w:hAnsi="Consolas"/>
          <w:color w:val="AF0060"/>
          <w:shd w:val="clear" w:fill="F5F0F2"/>
        </w:rPr>
        <w:t xml:space="preserve">role</w:t>
      </w:r>
      <w:r>
        <w:t xml:space="preserve">, </w:t>
      </w:r>
      <w:r>
        <w:rPr>
          <w:rFonts w:ascii="Consolas" w:hAnsi="Consolas"/>
          <w:color w:val="AF0060"/>
          <w:shd w:val="clear" w:fill="F5F0F2"/>
        </w:rPr>
        <w:t xml:space="preserve">accountType</w:t>
      </w:r>
      <w:r>
        <w:t xml:space="preserve">, </w:t>
      </w:r>
      <w:r>
        <w:rPr>
          <w:rFonts w:ascii="Consolas" w:hAnsi="Consolas"/>
          <w:color w:val="AF0060"/>
          <w:shd w:val="clear" w:fill="F5F0F2"/>
        </w:rPr>
        <w:t xml:space="preserve">status</w:t>
      </w:r>
      <w:r>
        <w:t xml:space="preserve">) em vez de "um banco por cliente" — a opção certa para o porte de um protótipo/MVP, porque adicionar um cliente novo é inserir uma linha, não provisionar infraestrutura. Um sistema de fato multi-tenant em produção evoluiria isso para </w:t>
      </w:r>
      <w:r>
        <w:rPr>
          <w:i/>
        </w:rPr>
        <w:t xml:space="preserve">schema-per-tenant</w:t>
      </w:r>
      <w:r>
        <w:t xml:space="preserve"> ou </w:t>
      </w:r>
      <w:r>
        <w:rPr>
          <w:i/>
        </w:rPr>
        <w:t xml:space="preserve">row-level security</w:t>
      </w:r>
      <w:r>
        <w:t xml:space="preserve">, mas isso seria over-engineering hoje.</w:t>
      </w:r>
    </w:p>
    <w:p>
      <w:pPr>
        <w:pStyle w:val="Heading3"/>
        <w:spacing w:after="120"/>
      </w:pPr>
      <w:r>
        <w:t xml:space="preserve">4.3 Padrão de interfaces: design system central</w:t>
      </w:r>
    </w:p>
    <w:p>
      <w:pPr>
        <w:spacing w:after="160"/>
      </w:pPr>
      <w:r>
        <w:t xml:space="preserve">Todo componente visual reutilizável mora em </w:t>
      </w:r>
      <w:r>
        <w:rPr>
          <w:rFonts w:ascii="Consolas" w:hAnsi="Consolas"/>
          <w:color w:val="AF0060"/>
          <w:shd w:val="clear" w:fill="F5F0F2"/>
        </w:rPr>
        <w:t xml:space="preserve">src/modules/core/components/</w:t>
      </w:r>
      <w:r>
        <w:t xml:space="preserve"> (catálogo em </w:t>
      </w:r>
      <w:r>
        <w:rPr>
          <w:rFonts w:ascii="Consolas" w:hAnsi="Consolas"/>
          <w:color w:val="AF0060"/>
          <w:shd w:val="clear" w:fill="F5F0F2"/>
        </w:rPr>
        <w:t xml:space="preserve">DESIGN_SYSTEM.md</w:t>
      </w:r>
      <w:r>
        <w:t xml:space="preserve">) e é consumido por todos os módulos de feature — nenhuma tela reimplementa botão, badge, card ou campo de formulário. O documento do próprio projeto já registra o "antes": cada tela reimplementava as mesmas classes Tailwind com pequenas variações de altura/cor/borda. É o motivo pelo qual as 15 interfaces do item 2 têm alta variação de </w:t>
      </w:r>
      <w:r>
        <w:rPr>
          <w:i/>
        </w:rPr>
        <w:t xml:space="preserve">conteúdo</w:t>
      </w:r>
      <w:r>
        <w:t xml:space="preserve"> e </w:t>
      </w:r>
      <w:r>
        <w:rPr>
          <w:i/>
        </w:rPr>
        <w:t xml:space="preserve">fluxo</w:t>
      </w:r>
      <w:r>
        <w:t xml:space="preserve">, mas identidade visual consistente — reuso sem engessar a personalização.</w:t>
      </w:r>
    </w:p>
    <w:p>
      <w:pPr>
        <w:pStyle w:val="Heading3"/>
        <w:spacing w:after="120"/>
      </w:pPr>
      <w:r>
        <w:t xml:space="preserve">4.4 Padrão de personalização: hooks de "gating" centralizados</w:t>
      </w:r>
    </w:p>
    <w:p>
      <w:pPr>
        <w:spacing w:after="160"/>
      </w:pPr>
      <w:r>
        <w:rPr>
          <w:rFonts w:ascii="Consolas" w:hAnsi="Consolas"/>
          <w:color w:val="AF0060"/>
          <w:shd w:val="clear" w:fill="F5F0F2"/>
        </w:rPr>
        <w:t xml:space="preserve">usePlanGating()</w:t>
      </w:r>
      <w:r>
        <w:t xml:space="preserve"> e </w:t>
      </w:r>
      <w:r>
        <w:rPr>
          <w:rFonts w:ascii="Consolas" w:hAnsi="Consolas"/>
          <w:color w:val="AF0060"/>
          <w:shd w:val="clear" w:fill="F5F0F2"/>
        </w:rPr>
        <w:t xml:space="preserve">useInstitutionalAccess()</w:t>
      </w:r>
      <w:r>
        <w:t xml:space="preserve"> (item 1) são o padrão que dá reuso real a regras de acesso: a regra de negócio ("Standard não vê metas", "só Institutional vê a mesa") vive em um lugar, e cada tela só pergunta um booleano. Evoluir esse padrão para algo mais robusto (ex.: um serviço de feature flags tipo LaunchDarkly/Unleash) seria o próximo passo natural se o número de eixos crescesse muito — mas para 2-3 eixos, um hook por módulo é mais simples e igualmente reusável.</w:t>
      </w:r>
    </w:p>
    <w:p>
      <w:pPr>
        <w:pStyle w:val="Heading3"/>
        <w:spacing w:after="120"/>
      </w:pPr>
      <w:r>
        <w:t xml:space="preserve">4.5 Arquitetura geral: monólito modular por domínio</w:t>
      </w:r>
    </w:p>
    <w:p>
      <w:pPr>
        <w:spacing w:after="160"/>
      </w:pPr>
      <w:r>
        <w:rPr>
          <w:rFonts w:ascii="Consolas" w:hAnsi="Consolas"/>
          <w:color w:val="AF0060"/>
          <w:shd w:val="clear" w:fill="F5F0F2"/>
        </w:rPr>
        <w:t xml:space="preserve">src/modules/&lt;domínio&gt;/</w:t>
      </w:r>
      <w:r>
        <w:t xml:space="preserve">, não </w:t>
      </w:r>
      <w:r>
        <w:rPr>
          <w:rFonts w:ascii="Consolas" w:hAnsi="Consolas"/>
          <w:color w:val="AF0060"/>
          <w:shd w:val="clear" w:fill="F5F0F2"/>
        </w:rPr>
        <w:t xml:space="preserve">src/{components,hooks,services}/</w:t>
      </w:r>
      <w:r>
        <w:t xml:space="preserve"> por tipo de arquivo. Cada módulo de feature só depende de </w:t>
      </w:r>
      <w:r>
        <w:rPr>
          <w:rFonts w:ascii="Consolas" w:hAnsi="Consolas"/>
          <w:color w:val="AF0060"/>
          <w:shd w:val="clear" w:fill="F5F0F2"/>
        </w:rPr>
        <w:t xml:space="preserve">core</w:t>
      </w:r>
      <w:r>
        <w:t xml:space="preserve">. Alternativas consideradas e descartadas para este projeto:</w:t>
      </w:r>
    </w:p>
    <w:tbl>
      <w:tblPr>
        <w:tblStyle w:val="TableGrid"/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Alternativa</w:t>
            </w:r>
          </w:p>
        </w:tc>
        <w:tc>
          <w:tcPr>
            <w:tcW w:w="4680" w:type="dxa"/>
            <w:shd w:val="clear" w:fill="2F5496"/>
            <w:vAlign w:val="center"/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Por que não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0"/>
            </w:pPr>
            <w:r>
              <w:rPr/>
              <w:t xml:space="preserve">Microfrontends (um app por módulo, deploy independente)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</w:pPr>
            <w:r>
              <w:rPr/>
              <w:t xml:space="preserve">Overhead de infraestrutura (build, versionamento, comunicação entre apps) desproporcional ao tamanho do time e do protótipo; a regra "módulo só depende de core" já dá a mesma separação lógica sem pagar esse custo operacional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0"/>
            </w:pPr>
            <w:r>
              <w:rPr/>
              <w:t xml:space="preserve">Multi-tenant com </w:t>
            </w:r>
            <w:r>
              <w:rPr>
                <w:i/>
              </w:rPr>
              <w:t xml:space="preserve">schema-per-tenant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</w:pPr>
            <w:r>
              <w:rPr/>
              <w:t xml:space="preserve">Resolve isolamento de dados entre clientes de verdade, mas o projeto ainda não tem multi-tenancy real (dados são um único dataset de demonstração) — seria complexidade sem necessidade correspondente hoje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0"/>
            </w:pPr>
            <w:r>
              <w:rPr/>
              <w:t xml:space="preserve">Serviço de feature flag dedicado</w:t>
            </w:r>
          </w:p>
        </w:tc>
        <w:tc>
          <w:tcPr>
            <w:tcW w:w="4680" w:type="dxa"/>
            <w:vAlign w:val="center"/>
          </w:tcPr>
          <w:p>
            <w:pPr>
              <w:spacing w:after="0"/>
            </w:pPr>
            <w:r>
              <w:rPr/>
              <w:t xml:space="preserve">Correto para dezenas de flags/experimentos; aqui 2-3 eixos de personalização cabem em hooks simples, mais fáceis de ler e testar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</w:rPr>
        <w:t xml:space="preserve">Conclusão:</w:t>
      </w:r>
      <w:r>
        <w:t xml:space="preserve"> para o porte e o objetivo deste projeto — protótipo acadêmico com potencial de evoluir para produto real, times pequenos, necessidade de trocar SGBD facilmente e de compor personalização por role + plano + segmento de cliente sem duplicar código — a combinação </w:t>
      </w:r>
      <w:r>
        <w:rPr>
          <w:b/>
        </w:rPr>
        <w:t xml:space="preserve">TypeScript fullstack (Next.js) + Prisma/SQLite + monólito modular por domínio + design system central + hooks de gating por eixo</w:t>
      </w:r>
      <w:r>
        <w:t xml:space="preserve"> é a que maximiza reuso sem sacrificar a capacidade de dar a cada cliente uma experiência diferente.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pt-BR"/>
      </w:rPr>
    </w:rPrDefault>
  </w:docDefaults>
  <w:style w:type="paragraph" w:default="1" w:styleId="Normal">
    <w:name w:val="Normal"/>
    <w:qFormat/>
    <w:pPr>
      <w:spacing w:after="160" w:line="288" w:lineRule="auto"/>
    </w:pPr>
  </w:style>
  <w:style w:type="paragraph" w:styleId="Title">
    <w:name w:val="Title"/>
    <w:basedOn w:val="Normal"/>
    <w:next w:val="Normal"/>
    <w:qFormat/>
    <w:pPr>
      <w:spacing w:before="0" w:after="280"/>
      <w:pBdr>
        <w:bottom w:val="single" w:sz="8" w:space="4" w:color="2F5496"/>
      </w:pBdr>
    </w:pPr>
    <w:rPr>
      <w:rFonts w:ascii="Calibri Light" w:hAnsi="Calibri Light"/>
      <w:b/>
      <w:color w:val="1F3864"/>
      <w:sz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Calibri Light" w:hAnsi="Calibri Light"/>
      <w:b/>
      <w:color w:val="2F5496"/>
      <w:sz w:val="27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b/>
      <w:color w:val="2F5496"/>
      <w:sz w:val="24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md_to_docx.py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Personalização, reuso e arquitetura — MyWallet</dc:title>
  <dc:creator>MyWallet</dc:creator>
  <cp:lastModifiedBy>MyWallet</cp:lastModifiedBy>
</cp:coreProperties>
</file>