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INFORME DE AVANCE DE SISTEMA PETI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Docente: Dr. Oscar Jimenez Flores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bfbfbf" w:space="0" w:sz="4" w:val="single"/>
          <w:left w:color="bfbfbf" w:space="0" w:sz="4" w:val="single"/>
          <w:bottom w:color="bfbfbf" w:space="0" w:sz="18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63"/>
        <w:gridCol w:w="5529"/>
        <w:gridCol w:w="850"/>
        <w:gridCol w:w="2148"/>
        <w:tblGridChange w:id="0">
          <w:tblGrid>
            <w:gridCol w:w="2263"/>
            <w:gridCol w:w="5529"/>
            <w:gridCol w:w="850"/>
            <w:gridCol w:w="2148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Título del proyecto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Sistema Web PETI 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13/05/2026</w:t>
            </w:r>
          </w:p>
        </w:tc>
      </w:tr>
    </w:tbl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312"/>
        <w:gridCol w:w="2156"/>
        <w:gridCol w:w="2156"/>
        <w:gridCol w:w="2156"/>
        <w:tblGridChange w:id="0">
          <w:tblGrid>
            <w:gridCol w:w="4312"/>
            <w:gridCol w:w="2156"/>
            <w:gridCol w:w="2156"/>
            <w:gridCol w:w="2156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bottom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Integrante</w:t>
            </w:r>
          </w:p>
        </w:tc>
        <w:tc>
          <w:tcPr>
            <w:tcBorders>
              <w:bottom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Código de estudiante</w:t>
            </w:r>
          </w:p>
        </w:tc>
        <w:tc>
          <w:tcPr>
            <w:tcBorders>
              <w:bottom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  <w:tc>
          <w:tcPr>
            <w:tcBorders>
              <w:bottom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 o Función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Apellidos y nombres…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Vargas Candia, Hashira Belén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2022075480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hv2022075480@virtual.upt.pe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Desarrolladora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bottom w:color="bfbfbf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Andia Navarro. Diego Fabrizio</w:t>
            </w:r>
          </w:p>
        </w:tc>
        <w:tc>
          <w:tcPr>
            <w:tcBorders>
              <w:bottom w:color="bfbfbf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2022073906</w:t>
            </w:r>
          </w:p>
        </w:tc>
        <w:tc>
          <w:tcPr>
            <w:tcBorders>
              <w:bottom w:color="bfbfbf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da2022073906@virtual.upt.pe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bottom w:color="bfbfbf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de documentación 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ESTADO DEL PROYECTO ESTA SEMANA</w:t>
      </w:r>
    </w:p>
    <w:tbl>
      <w:tblPr>
        <w:tblStyle w:val="Table3"/>
        <w:tblW w:w="10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8532"/>
        <w:tblGridChange w:id="0">
          <w:tblGrid>
            <w:gridCol w:w="2263"/>
            <w:gridCol w:w="8532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Número de avance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Cuarto avance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URL Github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https://github.com/Fabri59/Proyecto-ProfeRed.git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% de Avance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RESUMEN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Ingrese información aquí sobre el estado general y los aspectos más destacados del avance del sistema en esta semana.</w:t>
      </w:r>
    </w:p>
    <w:p w:rsidR="00000000" w:rsidDel="00000000" w:rsidP="00000000" w:rsidRDefault="00000000" w:rsidRPr="00000000" w14:paraId="0000002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5"/>
        <w:tblGridChange w:id="0">
          <w:tblGrid>
            <w:gridCol w:w="10795"/>
          </w:tblGrid>
        </w:tblGridChange>
      </w:tblGrid>
      <w:tr>
        <w:trPr>
          <w:cantSplit w:val="0"/>
          <w:trHeight w:val="374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2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before="8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 Elaboración de Plan Estratégico de TI ha alcanzado un hito significativo esta semana: la integración completa del backend (ASP.NET Core 8.0) con el frontend (React 18 + Vite), resultando en una aplicación web plenamente funcional. Se han implementado los 17 módulos estratégicos definidos en el alcance, incluyendo FODA, BCG, Porter, PEST y CAME, con exportación a PDF y Excel operativa en el cliente.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cuenta con autenticación JWT, tres roles de usuario diferenciados, y un dashboard con gráficos estadísticos. La base de datos SQL Server está estructurada con 14 tablas principales y procedimientos almacenados. </w:t>
            </w:r>
          </w:p>
        </w:tc>
      </w:tr>
    </w:tbl>
    <w:p w:rsidR="00000000" w:rsidDel="00000000" w:rsidP="00000000" w:rsidRDefault="00000000" w:rsidRPr="00000000" w14:paraId="00000029">
      <w:pPr>
        <w:spacing w:line="276" w:lineRule="auto"/>
        <w:rPr>
          <w:sz w:val="28"/>
          <w:szCs w:val="28"/>
        </w:rPr>
        <w:sectPr>
          <w:headerReference r:id="rId10" w:type="default"/>
          <w:footerReference r:id="rId11" w:type="default"/>
          <w:footerReference r:id="rId12" w:type="even"/>
          <w:pgSz w:h="15840" w:w="12240" w:orient="portrait"/>
          <w:pgMar w:bottom="531" w:top="1094" w:left="720" w:right="720" w:header="28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TRABAJO REALIZADO</w:t>
      </w:r>
    </w:p>
    <w:tbl>
      <w:tblPr>
        <w:tblStyle w:val="Table5"/>
        <w:tblW w:w="14453.999999999998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703"/>
        <w:gridCol w:w="10261"/>
        <w:gridCol w:w="3490"/>
        <w:tblGridChange w:id="0">
          <w:tblGrid>
            <w:gridCol w:w="703"/>
            <w:gridCol w:w="10261"/>
            <w:gridCol w:w="349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N°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las actividades realizadas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completa del API RESTful con ASP.NET Core 8.0: se desarrollaron los controladores AuthController, CoreController y StrategicController con endpoints para autenticación JWT (login/registro), CRUD completo de empresas, y los 17 módulos estratégicos (Misión, Visión, Valores, Objetivos, FODA, Cadena de Valor, BCG, Porter, PEST, CAME, Identificación Estratégica, y Resumen Ejecutivo). Se configuró Swagger para documentación automática.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Vargas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e implementación de la base de datos SQL Server: creación de tablas (Usuarios, Roles, Empresa, Mision, Vision, Valores, ObjetivosEstrategicos, AnalisisFODA, MatrizBCG, AnalisisPorter, AnalisisPEST, EstrategiaIdentificacion, MatrizCAME, Auditoria) con sus relaciones, índices y procedimientos almacenados. Se configuró Entity Framework Core 8.0 con migraciones automáticas.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Andia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del frontend en React 18 + Vite 5: implementación de las páginas LoginPage, DashboardPage, EmpresasPage y PlanEstrategicPage con 17 tabs. Se integró React Router DOM para navegación, Axios para consumo del API, ApexCharts para gráficos estadísticos, jsPDF + html2canvas para exportación a PDF, y biblioteca XLSX para exportación a Excel.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Vargas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del sistema de seguridad: autenticación con tokens JWT (expiración configurable, 24h por defecto), hash de contraseñas con BCrypt (salt factor 11), sistema de roles con 3 niveles (Administrador, Analista, Usuario), validaciones de permisos en cada endpoint mediante atributo [Authorize], y configuración de CORS para comunicación segura frontend-backend.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Andia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la arquitectura de capas: implementación del patrón Repository con interfaces IRepository&lt;T&gt;, capa de servicios con inyección de dependencias (AuthService, EmpresaService, StrategicModulesService, AdvancedModulesService), DTOs para separación de entidades de dominio, y AutoMapper para mapeo automático entre modelos y DTOs.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Vargas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 documentación técnica completa: README.md con arquitectura, instrucciones de instalación, credenciales de prueba y referencia de endpoints; CONFIG.md con variables de entorno para desarrollo y producción; DEPLOYMENT.md con instrucciones de despliegue en IIS; QUICKSTART.md con guía rápida de 5 minutos; y script SQL comentado para inicialización del primer usuario administrador.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Completo</w:t>
            </w:r>
          </w:p>
        </w:tc>
      </w:tr>
    </w:tbl>
    <w:p w:rsidR="00000000" w:rsidDel="00000000" w:rsidP="00000000" w:rsidRDefault="00000000" w:rsidRPr="00000000" w14:paraId="00000040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53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>
        <w:color w:val="808080"/>
        <w:sz w:val="16"/>
        <w:szCs w:val="16"/>
      </w:rPr>
    </w:pPr>
    <w:r w:rsidDel="00000000" w:rsidR="00000000" w:rsidRPr="00000000">
      <w:rPr>
        <w:color w:val="808080"/>
        <w:sz w:val="16"/>
        <w:szCs w:val="16"/>
        <w:rtl w:val="0"/>
      </w:rPr>
      <w:t xml:space="preserve">PLANEAMIENTO ESTRATÉGICO - UNIDAD II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18"/>
        <w:szCs w:val="18"/>
        <w:lang w:val="es-P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120" w:lineRule="auto"/>
    </w:pPr>
    <w:rPr>
      <w:b w:val="1"/>
      <w:bCs w:val="1"/>
      <w:smallCaps w:val="1"/>
      <w:color w:val="44546a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120" w:lineRule="auto"/>
    </w:pPr>
    <w:rPr>
      <w:b w:val="1"/>
      <w:bCs w:val="1"/>
      <w:smallCaps w:val="1"/>
      <w:color w:val="8496b0"/>
      <w:sz w:val="24"/>
      <w:szCs w:val="24"/>
    </w:rPr>
  </w:style>
  <w:style w:type="paragraph" w:styleId="Heading3">
    <w:name w:val="heading 3"/>
    <w:basedOn w:val="Normal"/>
    <w:next w:val="Normal"/>
    <w:pPr>
      <w:jc w:val="center"/>
    </w:pPr>
    <w:rPr>
      <w:rFonts w:ascii="Arial" w:cs="Arial" w:eastAsia="Arial" w:hAnsi="Arial"/>
      <w:b w:val="1"/>
      <w:bCs w:val="1"/>
      <w:smallCaps w:val="1"/>
    </w:rPr>
  </w:style>
  <w:style w:type="paragraph" w:styleId="Heading4">
    <w:name w:val="heading 4"/>
    <w:basedOn w:val="Normal"/>
    <w:next w:val="Normal"/>
    <w:pPr/>
    <w:rPr>
      <w:b w:val="1"/>
      <w:bCs w:val="1"/>
    </w:rPr>
  </w:style>
  <w:style w:type="paragraph" w:styleId="Heading5">
    <w:name w:val="heading 5"/>
    <w:basedOn w:val="Normal"/>
    <w:next w:val="Normal"/>
    <w:pPr>
      <w:jc w:val="center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="360" w:lineRule="auto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github.com/Fabri59/Proyecto-ProfeRed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v2022075480@virtual.upt.pe" TargetMode="External"/><Relationship Id="rId8" Type="http://schemas.openxmlformats.org/officeDocument/2006/relationships/hyperlink" Target="mailto:da2022073906@virtual.upt.p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YoIDPGAAQngJEVV6catuSGZUdg==">CgMxLjA4AHIhMTE0bDE2ZmNmX2wyZzhtaFZqd2tvTUdfRi1ESVhBa0RO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>InternalTags</vt:lpwstr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>FeatureTags</vt:lpwstr>
  </property>
  <property fmtid="{D5CDD505-2E9C-101B-9397-08002B2CF9AE}" pid="6" name="LocalizationTags">
    <vt:lpwstr>LocalizationTags</vt:lpwstr>
  </property>
  <property fmtid="{D5CDD505-2E9C-101B-9397-08002B2CF9AE}" pid="7" name="CampaignTags">
    <vt:lpwstr>CampaignTags</vt:lpwstr>
  </property>
  <property fmtid="{D5CDD505-2E9C-101B-9397-08002B2CF9AE}" pid="8" name="ScenarioTags">
    <vt:lpwstr>ScenarioTags</vt:lpwstr>
  </property>
  <property fmtid="{D5CDD505-2E9C-101B-9397-08002B2CF9AE}" pid="9" name="LocMarketGroupTiers">
    <vt:lpwstr>,t:Tier 1,t:Tier 2,t:Tier 3,</vt:lpwstr>
  </property>
</Properties>
</file>