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4338CA"/>
          <w:sz w:val="56"/>
        </w:rPr>
        <w:t>AUDITFLOW</w:t>
      </w:r>
    </w:p>
    <w:p>
      <w:pPr>
        <w:spacing w:after="240"/>
      </w:pPr>
      <w:r>
        <w:rPr>
          <w:rFonts w:ascii="Calibri" w:hAnsi="Calibri"/>
          <w:color w:val="64748B"/>
          <w:sz w:val="28"/>
        </w:rPr>
        <w:t>Plan Maestro de Arquitectura, IA, Historias de Usuario &amp; Casos de Uso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7"/>
              </w:rPr>
              <w:t>VERSIÓN</w:t>
              <w:br/>
            </w:r>
            <w:r>
              <w:rPr>
                <w:rFonts w:ascii="Calibri" w:hAnsi="Calibri"/>
                <w:b/>
                <w:color w:val="0F172A"/>
                <w:sz w:val="20"/>
              </w:rPr>
              <w:t>1.1 - Especificación Completa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7"/>
              </w:rPr>
              <w:t>ESTADO</w:t>
              <w:br/>
            </w:r>
            <w:r>
              <w:rPr>
                <w:rFonts w:ascii="Calibri" w:hAnsi="Calibri"/>
                <w:b/>
                <w:color w:val="0F172A"/>
                <w:sz w:val="20"/>
              </w:rPr>
              <w:t>Validado &amp; En Ejecución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64748B"/>
                <w:sz w:val="17"/>
              </w:rPr>
              <w:t>ALCANCE</w:t>
              <w:br/>
            </w:r>
            <w:r>
              <w:rPr>
                <w:rFonts w:ascii="Calibri" w:hAnsi="Calibri"/>
                <w:b/>
                <w:color w:val="0F172A"/>
                <w:sz w:val="20"/>
              </w:rPr>
              <w:t>MVP, Historias &amp; Casos de Uso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Resumen Ejecutivo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Auditflow es una plataforma integral diseñada para creadores de contenido, marcas de comercio electrónico y agencias de marketing digital. Su objetivo primordial es resolver el mayor problema del contenido orgánico moderno en TikTok e Instagram Reels: la falta de retención en los primeros segundos y la incertidumbre al momento de grabar productos o servicios.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A diferencia de los asistentes de texto convencionales (que solo redactan copys genéricos), Auditflow opera como un Director Creativo de Producción. Analiza las características visuales del producto y prescribe una Guía Maestra de Rodaje con reglas obligatorias: qué ángulos filmar, cómo iluminar, qué ganchos de 0 a 3 segundos utilizar y qué ritmo de edición aplicar.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3E8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36" w:space="0" w:color="7C3AED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7C3AED"/>
                <w:sz w:val="21"/>
              </w:rPr>
              <w:t xml:space="preserve">📌 PRINCIPIO CLAVE DE DISEÑO: </w:t>
            </w:r>
            <w:r>
              <w:rPr>
                <w:rFonts w:ascii="Calibri" w:hAnsi="Calibri"/>
                <w:color w:val="334155"/>
                <w:sz w:val="20"/>
              </w:rPr>
              <w:t>El sistema no trata las recomendaciones como opciones de búsqueda o sugerencias aisladas. Las presenta como un flujo de producción obligatorio, paso a paso, listo para que el creador tome su smartphone y comience a rodar inmediatamente.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1. Límites y Alcances del Sistema (Scope Matrix)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A. Lo que SÍ Incluye el Sistema (In-Scope)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Studio Engine Multimodal: </w:t>
      </w:r>
      <w:r>
        <w:rPr>
          <w:rFonts w:ascii="Calibri" w:hAnsi="Calibri"/>
          <w:color w:val="334155"/>
          <w:sz w:val="22"/>
        </w:rPr>
        <w:t>Carga de fotos de productos físicos o servicios digitales, extrayendo texturas, reflejos y escala visual con Gemini Vision.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Ficha Maestra de Producción: </w:t>
      </w:r>
      <w:r>
        <w:rPr>
          <w:rFonts w:ascii="Calibri" w:hAnsi="Calibri"/>
          <w:color w:val="334155"/>
          <w:sz w:val="22"/>
        </w:rPr>
        <w:t>Presentación obligatoria y continua de: Estrategia y formato viral, 3 Ganchos de 0 a 3 segundos, Shot-list cronológico toma por toma, Iluminación específica y Receta de edición.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Auditoría On-Demand de Videos: </w:t>
      </w:r>
      <w:r>
        <w:rPr>
          <w:rFonts w:ascii="Calibri" w:hAnsi="Calibri"/>
          <w:color w:val="334155"/>
          <w:sz w:val="22"/>
        </w:rPr>
        <w:t>Auditoría crítica sobre videos (vía enlace público o archivo MP4/MOV) midiendo retención, claridad de audio, zonas seguras (safe zones) y llamada a la acción (CTA).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4. Scoring CQS y Diagnóstico: </w:t>
      </w:r>
      <w:r>
        <w:rPr>
          <w:rFonts w:ascii="Calibri" w:hAnsi="Calibri"/>
          <w:color w:val="334155"/>
          <w:sz w:val="22"/>
        </w:rPr>
        <w:t>Calificación cuantitativa Creative Quality Score (CQS 0-100) con 5 métricas ponderadas: Retención Primeros 3s (30%), Claridad de Propuesta de Valor (25%), Ritmo y Continuidad 1.2-1.8s (20%), Calidad de Audio y Normalización (15%), CTA &amp; Safe Zones (10%), complementada con el Entregable Unificado en 3 Secciones: 1. Entendé el Perfil, 2. La Mejora y Qué Hacer, 3. Después Hacé.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5. Experiencia de Usuario Ágil: </w:t>
      </w:r>
      <w:r>
        <w:rPr>
          <w:rFonts w:ascii="Calibri" w:hAnsi="Calibri"/>
          <w:color w:val="334155"/>
          <w:sz w:val="22"/>
        </w:rPr>
        <w:t>Diseño mobile-first optimizado para uso directo desde el teléfono del creador.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B. Lo que se Excluye del MVP (Out-of-Scope) y su Justificación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• Publicación automática desatendida: </w:t>
      </w:r>
      <w:r>
        <w:rPr>
          <w:rFonts w:ascii="Calibri" w:hAnsi="Calibri"/>
          <w:color w:val="334155"/>
          <w:sz w:val="22"/>
        </w:rPr>
        <w:t>Riesgo alto de baneo de cuentas de usuario por parte de Meta y TikTok. Además, rompe el objetivo de ser una herramienta de producción previa.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• Editor de video integrado: </w:t>
      </w:r>
      <w:r>
        <w:rPr>
          <w:rFonts w:ascii="Calibri" w:hAnsi="Calibri"/>
          <w:color w:val="334155"/>
          <w:sz w:val="22"/>
        </w:rPr>
        <w:t>El renderizado es computacionalmente pesado e innecesario cuando existen herramientas consolidadas como CapCut o Premiere.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• Monitoreo continuo 24/7 en segundo plano: </w:t>
      </w:r>
      <w:r>
        <w:rPr>
          <w:rFonts w:ascii="Calibri" w:hAnsi="Calibri"/>
          <w:color w:val="334155"/>
          <w:sz w:val="22"/>
        </w:rPr>
        <w:t>Consumo excesivo de ancho de banda y tokens sin aportar valor directo a la toma de decisión del video individual.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• Auditoría de cuentas privadas o historias efímeras: </w:t>
      </w:r>
      <w:r>
        <w:rPr>
          <w:rFonts w:ascii="Calibri" w:hAnsi="Calibri"/>
          <w:color w:val="334155"/>
          <w:sz w:val="22"/>
        </w:rPr>
        <w:t>Técnicamente inviable y legalmente riesgoso sin credenciales del propietario.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2. Arquitectura Técnica y Estrategia de Procesamiento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La arquitectura óptima seleccionada es un Monolito Asíncrono con Cola Ligera de Tareas en segundo plano (Next.js + QStash/Inngest). Permite que el cliente reciba respuesta en menos de 500ms evitando los timeouts de 10-15s típicos de Vercel y Cloudflare, mientras la inferencia pesada de Gemini se resuelve en background.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3. Integración con la API de Gemini para el MVP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Google Gemini es el modelo más ventajoso por su comprensión nativa simultánea de imagen, texto en pantalla (OCR) y audio sin necesidad de ensamblar múltiples modelos. Se implementa con resiliencia multimodelo: primario gemini-flash-lite-latest, secundario gemini-3.8-flash y generador dinámico de respaldo de cero tiempo de inactividad.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4. Especialización en Marketing (Sin Fine-Tuning)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En lugar de costosos entrenamientos de pesos que quedan obsoletos en semanas, la especialización se logra con Arquitectura de Conocimiento en Inferencia: rol estricto de Director Creativo Senior (estilo Hormozi/MrBeast), rúbricas cuantitativas (cortes en &lt;1.5s, bucles de curiosidad en &lt;3s), anclas few-shot de videos 38/100 vs 89/100 y esquemas JSON estrictos.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5. Studio Engine: Los 5 Pasos Obligatorios de la Guía de Rodaje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1: Estrategia y Formato Viral: </w:t>
      </w:r>
      <w:r>
        <w:rPr>
          <w:rFonts w:ascii="Calibri" w:hAnsi="Calibri"/>
          <w:color w:val="334155"/>
          <w:sz w:val="22"/>
        </w:rPr>
        <w:t>Arquetipo probado, por qué funciona psicológicamente y audio trending sugerido al 12%.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2: Ganchos de 0 a 3 Segundos: </w:t>
      </w:r>
      <w:r>
        <w:rPr>
          <w:rFonts w:ascii="Calibri" w:hAnsi="Calibri"/>
          <w:color w:val="334155"/>
          <w:sz w:val="22"/>
        </w:rPr>
        <w:t>3 alternativas con texto en pantalla, guion hablado y acción visual simultánea para detener el scroll.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3: Guía de Tomas y Ángulos (Shot-List): </w:t>
      </w:r>
      <w:r>
        <w:rPr>
          <w:rFonts w:ascii="Calibri" w:hAnsi="Calibri"/>
          <w:color w:val="334155"/>
          <w:sz w:val="22"/>
        </w:rPr>
        <w:t>Toma por toma con tipo de plano (Macro, POV, Cenital), ángulo y movimiento.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4: Reglas de Iluminación Específica: </w:t>
      </w:r>
      <w:r>
        <w:rPr>
          <w:rFonts w:ascii="Calibri" w:hAnsi="Calibri"/>
          <w:color w:val="334155"/>
          <w:sz w:val="22"/>
        </w:rPr>
        <w:t>Luz de ventana a 45°, rebote difuso casero y la regla de oro de limpiar la lente.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Paso 5: Receta de Edición y Ritmo: </w:t>
      </w:r>
      <w:r>
        <w:rPr>
          <w:rFonts w:ascii="Calibri" w:hAnsi="Calibri"/>
          <w:color w:val="334155"/>
          <w:sz w:val="22"/>
        </w:rPr>
        <w:t>Pacing cada 1.2s-1.8s, volumen de fondo al 12%, subtítulos en Safe Zone y 1080x1920 (9:16).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6. Acceso Técnico y Estructura Unificada del Entregable de Auditoría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Las APIs oficiales de Meta y TikTok se descartan para el MVP porque exigen aprobación empresarial compleja y no permiten auditar cuentas de competidores. El acceso se resuelve en 2 niveles prácticos: Nivel 1 (Subida directa de archivo MP4/MOV, 100% libre de bloqueos) y Nivel 2 (APIs administradas en RapidAPI/Apify con proxies residenciales que resuelven captchas por centavos).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Estructura Unificada del Entregable (Las 3 Secciones Clave de Auditoría)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1. ENTENDÉ EL PERFIL: </w:t>
      </w:r>
      <w:r>
        <w:rPr>
          <w:rFonts w:ascii="Calibri" w:hAnsi="Calibri"/>
          <w:color w:val="334155"/>
          <w:sz w:val="22"/>
        </w:rPr>
        <w:t>Evaluación de la propuesta de valor ('Regla de los 3 segundos'), diagnóstico de biografía (elementos que restan autoridad vs. gancho de transformación) e identificación del tono comunicacional (Autoritario, Empático o Transaccional).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2. LA MEJORA Y QUÉ HACER: </w:t>
      </w:r>
      <w:r>
        <w:rPr>
          <w:rFonts w:ascii="Calibri" w:hAnsi="Calibri"/>
          <w:color w:val="334155"/>
          <w:sz w:val="22"/>
        </w:rPr>
        <w:t>3 opciones de biografía optimizadas (Autoridad, Beneficio Directo y Minimalista), ruta de conversión con enlace múltiple (máx. 3 botones) y estructura de las 4 portadas destacadas ('Empezá acá', 'Productos', 'Clientes', 'Cómo Comprar').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3. DESPUÉS HACÉ: </w:t>
      </w:r>
      <w:r>
        <w:rPr>
          <w:rFonts w:ascii="Calibri" w:hAnsi="Calibri"/>
          <w:color w:val="334155"/>
          <w:sz w:val="22"/>
        </w:rPr>
        <w:t>Plan técnico de contenidos 100% accionable: Rutina semanal de stories (Lunes de encuesta, Miércoles de proceso, Viernes de venta) y 3 ideas de Reels virales por rubro con gancho 0-3s, ritmo de 1.5s y CTA claro (Educativo, Mito y Storytelling).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Algoritmo Cuantitativo: Creative Quality Score (CQS 0-100 Puntos)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Inspirado en el rigor metodológico de CreativeX y VidMob, pero adaptado de forma prescriptiva y accesible para creadores, marcas D2C y agencias, el algoritmo CQS evalúa cada video o perfil auditado sobre 5 dimensiones ponderadas matemáticamente: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4338C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Dimensión / Pilar</w:t>
            </w:r>
          </w:p>
        </w:tc>
        <w:tc>
          <w:tcPr>
            <w:tcW w:type="dxa" w:w="1152"/>
            <w:shd w:fill="4338C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Peso</w:t>
            </w:r>
          </w:p>
        </w:tc>
        <w:tc>
          <w:tcPr>
            <w:tcW w:type="dxa" w:w="5040"/>
            <w:shd w:fill="4338C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Criterio Técnico Evaluado</w:t>
            </w:r>
          </w:p>
        </w:tc>
        <w:tc>
          <w:tcPr>
            <w:tcW w:type="dxa" w:w="1152"/>
            <w:shd w:fill="4338C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Pts Máx.</w:t>
            </w:r>
          </w:p>
        </w:tc>
      </w:tr>
      <w:tr>
        <w:tc>
          <w:tcPr>
            <w:tcW w:type="dxa" w:w="259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Retención en Gancho (0-3s)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30%</w:t>
            </w:r>
          </w:p>
        </w:tc>
        <w:tc>
          <w:tcPr>
            <w:tcW w:type="dxa" w:w="5040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Acción visual simultánea al texto en pantalla, rotura de patrón y eliminación de preámbulos lentos.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30 pts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Claridad de Propuesta de Valor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25%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Explicación inequívoca del beneficio central antes del segundo 5; respuesta clara a '¿por qué me importa?'.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25 pts</w:t>
            </w:r>
          </w:p>
        </w:tc>
      </w:tr>
      <w:tr>
        <w:tc>
          <w:tcPr>
            <w:tcW w:type="dxa" w:w="259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Ritmo y Continuidad Visual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20%</w:t>
            </w:r>
          </w:p>
        </w:tc>
        <w:tc>
          <w:tcPr>
            <w:tcW w:type="dxa" w:w="5040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Cortes y transiciones dinámicas cada 1.2s - 1.8s (B-rolls, cambios de plano, zooms rápidos).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20 pts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Calidad y Normalización de Audio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15%</w:t>
            </w:r>
          </w:p>
        </w:tc>
        <w:tc>
          <w:tcPr>
            <w:tcW w:type="dxa" w:w="504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Voz frontal inteligible (&gt;65 dBA), reducción de ruido ambiente y música trending equilibrada al 12%.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15 pts</w:t>
            </w:r>
          </w:p>
        </w:tc>
      </w:tr>
      <w:tr>
        <w:tc>
          <w:tcPr>
            <w:tcW w:type="dxa" w:w="259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Llamado a la Acción y Safe Zones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10%</w:t>
            </w:r>
          </w:p>
        </w:tc>
        <w:tc>
          <w:tcPr>
            <w:tcW w:type="dxa" w:w="5040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CTA unívoco y claro, sin elementos críticos tapados por la interfaz de TikTok / Instagram (Safe Zones 9:16).</w:t>
            </w:r>
          </w:p>
        </w:tc>
        <w:tc>
          <w:tcPr>
            <w:tcW w:type="dxa" w:w="1152"/>
            <w:shd w:fill="EEF2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10 pts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7. Historias de Usuario del Proyecto (User Stories)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Las Historias de Usuario definen las necesidades funcionales desde la perspectiva de los 3 arquetipos clave: el Creador UGC / Emprendedor Solopreneur, el Dueño de E-Commerce y el Content Manager de Agencia.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Como [Rol]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Quiero [Funcionalidad]</w:t>
            </w:r>
          </w:p>
        </w:tc>
        <w:tc>
          <w:tcPr>
            <w:tcW w:type="dxa" w:w="2484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Para [Beneficio / Impacto]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US-01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Creador UGC / Emprendedor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Subir una foto de mi producto con su nombre y objetivo comercial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Obtener al instante una guía de rodaje completa sin bloquearme pensando qué filmar.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US-02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Creador de Contenido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Recibir 3 alternativas de ganchos (texto en pantalla + voz + acción simultánea)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Detener el scroll del espectador en los primeros 1.5 segundos y aumentar la retención.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US-03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Grabador con Smartphone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Ver una lista cronológica toma por toma con ángulo y movimiento de cámara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Grabar todos los clips en menos de 15 minutos sabiendo exactamente cómo mover el celular.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US-04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Creador sin Luces Pro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Recibir directivas prácticas para luz de ventana a 45° y rebote casero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Evitar sombras duras y videos oscuros o amateurs sin comprar equipo de iluminación caro.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US-05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Editor en CapCut / Celular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Conocer el ritmo de cortes (1.5s), volumen de música (12%) y zonas seguras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Editar el video cumpliendo las reglas algorítmicas de TikTok e Instagram.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US-06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Dueño de Marca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Pegar la URL pública de un Reel o TikTok sin dar contraseñas ni permisos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Auditar el rendimiento de mi video o el de un competidor en pocos segundos.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US-07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Creador Audiovisual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Subir un archivo MP4 o MOV directamente desde mi galería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Auditar un borrador de video antes de publicarlo en redes sociales para corregir errores.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US-08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Content Manager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Ver una puntuación global de 0 a 100 desglosada por gancho, audio y CTA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Medir objetivamente la probabilidad de éxito de cada pieza de contenido.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US-09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Creador en Producción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Guardar mis planes de rodaje en un planificador semanal con estados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Mantener constancia publicando al menos 3 videos semanales organizadamente.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334155"/>
                <w:sz w:val="17"/>
              </w:rPr>
              <w:t>US-10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Director de Proyecto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Descargar el documento maestro en formato Word (.docx) o leerlo en web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Abrirlo en Google Drive, hacer anotaciones, compartirlo con clientes y editarlo.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Criterios de Aceptación Clave (Gherkin)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Criterio de US-01 (Studio Engine): </w:t>
      </w:r>
      <w:r>
        <w:rPr>
          <w:rFonts w:ascii="Calibri" w:hAnsi="Calibri"/>
          <w:color w:val="334155"/>
          <w:sz w:val="22"/>
        </w:rPr>
        <w:t>Dado que el usuario carga una imagen válida y escribe el nombre del producto, cuando pulsa 'Generar Guía Maestra', entonces el sistema responde en menos de 5 segundos con una ficha continua que contiene: formato viral, 3 ganchos, tomas 1 a 4+, iluminación y edición. Y si la API externa experimenta sobrecarga (503), el sistema activa el fallback dinámico garantizando cero tiempo de inactividad.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Criterio de US-02 (Copiado Rápido): </w:t>
      </w:r>
      <w:r>
        <w:rPr>
          <w:rFonts w:ascii="Calibri" w:hAnsi="Calibri"/>
          <w:color w:val="334155"/>
          <w:sz w:val="22"/>
        </w:rPr>
        <w:t>Dado que el usuario tiene una guía generada, cuando pulsa el botón 'Copiar Guion' en cualquier gancho, entonces el texto se copia inmediatamente al portapapeles y el botón cambia temporalmente a '¡Copiado!' durante 2 segundos.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8. Casos de Uso del Sistema (Use Cases)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Los Casos de Uso estructuran las interacciones formales entre los actores (humanos y sistemas externos) y los componentes de AuditFlow: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CU-01: Generación de Guía Maestra a partir de Producto (Foto + Datos)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 Principal: </w:t>
      </w:r>
      <w:r>
        <w:rPr>
          <w:rFonts w:ascii="Calibri" w:hAnsi="Calibri"/>
          <w:color w:val="334155"/>
          <w:sz w:val="22"/>
        </w:rPr>
        <w:t>Creador UGC / Emprendedor (Usuario Web / Móvil).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Actores Secundarios: </w:t>
      </w:r>
      <w:r>
        <w:rPr>
          <w:rFonts w:ascii="Calibri" w:hAnsi="Calibri"/>
          <w:color w:val="334155"/>
          <w:sz w:val="22"/>
        </w:rPr>
        <w:t>Motor Gemini Multimodal (Visión y Lenguaje), Generador Dinámico de Respaldo.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Precondición: </w:t>
      </w:r>
      <w:r>
        <w:rPr>
          <w:rFonts w:ascii="Calibri" w:hAnsi="Calibri"/>
          <w:color w:val="334155"/>
          <w:sz w:val="22"/>
        </w:rPr>
        <w:t>El usuario tiene acceso a AuditFlow desde su celular o navegador.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Flujo Principal: </w:t>
      </w:r>
      <w:r>
        <w:rPr>
          <w:rFonts w:ascii="Calibri" w:hAnsi="Calibri"/>
          <w:color w:val="334155"/>
          <w:sz w:val="22"/>
        </w:rPr>
        <w:t>1. El usuario selecciona o toma una foto del producto desde su dispositivo.</w:t>
        <w:br/>
        <w:t>2. Ingresa el nombre del producto y opcionalmente detalles diferenciadores.</w:t>
        <w:br/>
        <w:t>3. Selecciona el tipo de oferta (Físico / Digital) y el objetivo (Ventas / Viral / Confianza).</w:t>
        <w:br/>
        <w:t>4. Presiona el botón 'Generar Guía Maestra de Rodaje'.</w:t>
        <w:br/>
        <w:t>5. El sistema envía la solicitud multimodal a /api/studio/generate.</w:t>
        <w:br/>
        <w:t>6. Gemini analiza imagen y contexto con el prompt calibrado de marketing.</w:t>
        <w:br/>
        <w:t>7. El sistema recibe el JSON estructurado tipado (ShootingKit).</w:t>
        <w:br/>
        <w:t>8. Se despliega la pantalla continua con los 5 pasos obligatorios de rodaje.</w:t>
        <w:br/>
        <w:t>9. El usuario puede copiar guiones, revisar las tomas o guardar el kit en el Tracker.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Flujos Alternativos: </w:t>
      </w:r>
      <w:r>
        <w:rPr>
          <w:rFonts w:ascii="Calibri" w:hAnsi="Calibri"/>
          <w:color w:val="334155"/>
          <w:sz w:val="22"/>
        </w:rPr>
        <w:t>• Flujo Alternativo 1 (Sin foto): El usuario no sube foto; el sistema genera la guía utilizando el nombre y descripción textual.</w:t>
        <w:br/>
        <w:t>• Flujo Alternativo 2 (Saturación de API 503): Si Gemini no responde, el motor activa el Generador Inteligente de Respaldo en &lt;1 segundo sin mostrar errores al usuario.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Postcondición: </w:t>
      </w:r>
      <w:r>
        <w:rPr>
          <w:rFonts w:ascii="Calibri" w:hAnsi="Calibri"/>
          <w:color w:val="334155"/>
          <w:sz w:val="22"/>
        </w:rPr>
        <w:t>El usuario dispone de una ficha de producción lista para filmar de inmediato.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CU-02: Auditoría Crítica de Video On-Demand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 Principal: </w:t>
      </w:r>
      <w:r>
        <w:rPr>
          <w:rFonts w:ascii="Calibri" w:hAnsi="Calibri"/>
          <w:color w:val="334155"/>
          <w:sz w:val="22"/>
        </w:rPr>
        <w:t>Content Manager / Creador.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Actores Secundarios: </w:t>
      </w:r>
      <w:r>
        <w:rPr>
          <w:rFonts w:ascii="Calibri" w:hAnsi="Calibri"/>
          <w:color w:val="334155"/>
          <w:sz w:val="22"/>
        </w:rPr>
        <w:t>Servicio de Ingesta (RapidAPI / Scraping), Gemini Video API.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Precondición: </w:t>
      </w:r>
      <w:r>
        <w:rPr>
          <w:rFonts w:ascii="Calibri" w:hAnsi="Calibri"/>
          <w:color w:val="334155"/>
          <w:sz w:val="22"/>
        </w:rPr>
        <w:t>El usuario dispone de una URL pública de video o un archivo MP4/MOV.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Flujo Principal: </w:t>
      </w:r>
      <w:r>
        <w:rPr>
          <w:rFonts w:ascii="Calibri" w:hAnsi="Calibri"/>
          <w:color w:val="334155"/>
          <w:sz w:val="22"/>
        </w:rPr>
        <w:t>1. El usuario navega a la pestaña 'Auditoría'.</w:t>
        <w:br/>
        <w:t>2. Pega el enlace público del Reel/TikTok o sube el archivo de video.</w:t>
        <w:br/>
        <w:t>3. Pulsa 'Auditar Video'.</w:t>
        <w:br/>
        <w:t>4. El sistema crea la tarea asíncrona y responde inmediatamente con un audit_id.</w:t>
        <w:br/>
        <w:t>5. La interfaz muestra un indicador de estado en tiempo real (Descarga -&gt; Análisis de IA -&gt; Reporte).</w:t>
        <w:br/>
        <w:t>6. Gemini evalúa las 5 métricas CQS: gancho 0-3s (30%), propuesta de valor (25%), ritmo 1.2-1.8s (20%), audio (15%) y CTA/safe zones (10%).</w:t>
        <w:br/>
        <w:t>7. Se despliega el reporte final estructurado en el Entregable Unificado (Entendé el Perfil, La Mejora y Qué Hacer, Después Hacé) con puntuación CQS (0-100) y checklist de tareas correctivas.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Postcondición: </w:t>
      </w:r>
      <w:r>
        <w:rPr>
          <w:rFonts w:ascii="Calibri" w:hAnsi="Calibri"/>
          <w:color w:val="334155"/>
          <w:sz w:val="22"/>
        </w:rPr>
        <w:t>El usuario obtiene el diagnóstico cuantitativo con las acciones exactas para mejorar el video.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CU-03: Seguimiento del Flujo de Producción en el Content Tracker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 Principal: </w:t>
      </w:r>
      <w:r>
        <w:rPr>
          <w:rFonts w:ascii="Calibri" w:hAnsi="Calibri"/>
          <w:color w:val="334155"/>
          <w:sz w:val="22"/>
        </w:rPr>
        <w:t>Creador de Contenido.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Actores Secundarios: </w:t>
      </w:r>
      <w:r>
        <w:rPr>
          <w:rFonts w:ascii="Calibri" w:hAnsi="Calibri"/>
          <w:color w:val="334155"/>
          <w:sz w:val="22"/>
        </w:rPr>
        <w:t>AuditFlow LocalStorage / Base de Datos.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Precondición: </w:t>
      </w:r>
      <w:r>
        <w:rPr>
          <w:rFonts w:ascii="Calibri" w:hAnsi="Calibri"/>
          <w:color w:val="334155"/>
          <w:sz w:val="22"/>
        </w:rPr>
        <w:t>Al menos una guía de rodaje creada en el Studio.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Flujo Principal: </w:t>
      </w:r>
      <w:r>
        <w:rPr>
          <w:rFonts w:ascii="Calibri" w:hAnsi="Calibri"/>
          <w:color w:val="334155"/>
          <w:sz w:val="22"/>
        </w:rPr>
        <w:t>1. En la vista de ShootingKit, el usuario pulsa 'Guardar Plan'.</w:t>
        <w:br/>
        <w:t>2. El sistema almacena el plan con estado 'Por Grabar'.</w:t>
        <w:br/>
        <w:t>3. En la pestaña 'Planificador', el usuario visualiza sus guías y su meta semanal (ej. 1 de 3 videos).</w:t>
        <w:br/>
        <w:t>4. El usuario actualiza el estado a 'Grabado', 'Editado' o 'Publicado'.</w:t>
        <w:br/>
        <w:t>5. Puede pulsar sobre cualquier tarjeta para reabrir la guía completa mientras filma.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Postcondición: </w:t>
      </w:r>
      <w:r>
        <w:rPr>
          <w:rFonts w:ascii="Calibri" w:hAnsi="Calibri"/>
          <w:color w:val="334155"/>
          <w:sz w:val="22"/>
        </w:rPr>
        <w:t>El estado y la barra de progreso semanal se actualizan en tiempo real.</w:t>
      </w:r>
    </w:p>
    <w:p>
      <w:pPr>
        <w:keepNext/>
        <w:spacing w:before="280" w:after="80"/>
      </w:pPr>
      <w:r>
        <w:rPr>
          <w:rFonts w:ascii="Calibri" w:hAnsi="Calibri"/>
          <w:b/>
          <w:color w:val="4338CA"/>
          <w:sz w:val="28"/>
        </w:rPr>
        <w:t>CU-04: Descarga y Edición del Documento de Especificación en Google Drive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 Principal: </w:t>
      </w:r>
      <w:r>
        <w:rPr>
          <w:rFonts w:ascii="Calibri" w:hAnsi="Calibri"/>
          <w:color w:val="334155"/>
          <w:sz w:val="22"/>
        </w:rPr>
        <w:t>Usuario / Director de Proyecto.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Actores Secundarios: </w:t>
      </w:r>
      <w:r>
        <w:rPr>
          <w:rFonts w:ascii="Calibri" w:hAnsi="Calibri"/>
          <w:color w:val="334155"/>
          <w:sz w:val="22"/>
        </w:rPr>
        <w:t>Google Drive / Google Docs, Servidor de AuditFlow.</w:t>
      </w:r>
    </w:p>
    <w:p>
      <w:pPr>
        <w:spacing w:after="120" w:line="276" w:lineRule="auto"/>
      </w:pPr>
      <w:r>
        <w:rPr>
          <w:rFonts w:ascii="Calibri" w:hAnsi="Calibri"/>
          <w:b/>
          <w:color w:val="0F172A"/>
          <w:sz w:val="22"/>
        </w:rPr>
        <w:t xml:space="preserve">Flujo Principal: </w:t>
      </w:r>
      <w:r>
        <w:rPr>
          <w:rFonts w:ascii="Calibri" w:hAnsi="Calibri"/>
          <w:color w:val="334155"/>
          <w:sz w:val="22"/>
        </w:rPr>
        <w:t>1. El usuario hace clic en la pestaña 'Documento' o navega a /documento.</w:t>
        <w:br/>
        <w:t>2. Revisa la especificación completa en la vista web optimizada.</w:t>
        <w:br/>
        <w:t>3. Hace clic en 'Descargar Word (.docx)'.</w:t>
        <w:br/>
        <w:t>4. El navegador descarga el archivo oficial con tablas y formato compatible.</w:t>
        <w:br/>
        <w:t>5. El usuario abre Google Drive (drive.google.com) y sube el archivo con '+ Nuevo' -&gt; 'Subir archivo'.</w:t>
        <w:br/>
        <w:t>6. Abre el documento en Google Docs para realizar modificaciones, agregar comentarios o compartir con su equipo.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Postcondición: </w:t>
      </w:r>
      <w:r>
        <w:rPr>
          <w:rFonts w:ascii="Calibri" w:hAnsi="Calibri"/>
          <w:color w:val="334155"/>
          <w:sz w:val="22"/>
        </w:rPr>
        <w:t>El usuario cuenta con una copia editable en la nube de toda la arquitectura y especificación.</w:t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9. Hoja de Ruta de Implementación y Estimación de Costos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Fase 1 (Completada): </w:t>
      </w:r>
      <w:r>
        <w:rPr>
          <w:rFonts w:ascii="Calibri" w:hAnsi="Calibri"/>
          <w:color w:val="334155"/>
          <w:sz w:val="22"/>
        </w:rPr>
        <w:t>Studio Engine con visión multimodal, diseño UX/UI de alta gama y tolerancia a fallos.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Fase 2 (Siguiente): </w:t>
      </w:r>
      <w:r>
        <w:rPr>
          <w:rFonts w:ascii="Calibri" w:hAnsi="Calibri"/>
          <w:color w:val="334155"/>
          <w:sz w:val="22"/>
        </w:rPr>
        <w:t>Motor asíncrono de auditoría por URL y MP4 con rúbrica estricta y score 0-100.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Fase 3: </w:t>
      </w:r>
      <w:r>
        <w:rPr>
          <w:rFonts w:ascii="Calibri" w:hAnsi="Calibri"/>
          <w:color w:val="334155"/>
          <w:sz w:val="22"/>
        </w:rPr>
        <w:t>Benchmark de perfiles públicos y análisis competitivo.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F172A"/>
          <w:sz w:val="22"/>
        </w:rPr>
        <w:t xml:space="preserve">Fase 4: </w:t>
      </w:r>
      <w:r>
        <w:rPr>
          <w:rFonts w:ascii="Calibri" w:hAnsi="Calibri"/>
          <w:color w:val="334155"/>
          <w:sz w:val="22"/>
        </w:rPr>
        <w:t>Cuentas de usuario y sincronización automática con Notion y Drive.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2"/>
        </w:rPr>
        <w:t>Presupuesto operativo del MVP: $0 a $5 USD mensuales (Hosting gratuito + Gemini Free Tier hasta 1,500 req/día).</w:t>
      </w:r>
    </w:p>
    <w:p>
      <w:pPr>
        <w:spacing w:after="320"/>
      </w:pPr>
    </w:p>
    <w:p>
      <w:pPr>
        <w:jc w:val="center"/>
      </w:pPr>
      <w:r>
        <w:rPr>
          <w:rFonts w:ascii="Calibri" w:hAnsi="Calibri"/>
          <w:i/>
          <w:color w:val="94A3B8"/>
          <w:sz w:val="20"/>
        </w:rPr>
        <w:t>— Fin del Documento Maestro de Especificación —</w:t>
        <w:br/>
        <w:t>AuditFlow Core Team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