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E74500" w:rsidRDefault="00E74500">
      <w:pPr>
        <w:pStyle w:val="Ttulo"/>
        <w:jc w:val="right"/>
        <w:rPr>
          <w:lang w:val="pt-BR"/>
        </w:rPr>
      </w:pPr>
      <w:r w:rsidRPr="00E74500">
        <w:rPr>
          <w:lang w:val="pt-BR"/>
        </w:rPr>
        <w:t>M</w:t>
      </w:r>
      <w:r>
        <w:rPr>
          <w:lang w:val="pt-BR"/>
        </w:rPr>
        <w:t>anSAD</w:t>
      </w:r>
    </w:p>
    <w:p w:rsidR="00A4243C" w:rsidRDefault="00B470F1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Plano</w:t>
      </w:r>
      <w:r w:rsidR="00DF5197">
        <w:rPr>
          <w:lang w:val="pt-BR"/>
        </w:rPr>
        <w:t xml:space="preserve"> de Custo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E7450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</w:t>
            </w:r>
            <w:r w:rsidR="00E74500">
              <w:rPr>
                <w:lang w:val="pt-BR"/>
              </w:rPr>
              <w:t>9</w:t>
            </w:r>
            <w:r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E74500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Daniella Costa</w:t>
            </w:r>
          </w:p>
        </w:tc>
      </w:tr>
      <w:tr w:rsidR="009D5DF8" w:rsidTr="009D5DF8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r>
        <w:lastRenderedPageBreak/>
        <w:t>Índice Analítico</w:t>
      </w:r>
    </w:p>
    <w:p w:rsidR="00962658" w:rsidRDefault="006D658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6D658A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6D658A">
        <w:rPr>
          <w:b w:val="0"/>
          <w:bCs w:val="0"/>
          <w:lang w:val="pt-BR"/>
        </w:rPr>
        <w:fldChar w:fldCharType="separate"/>
      </w:r>
      <w:hyperlink w:anchor="_Toc355288273" w:history="1">
        <w:r w:rsidR="00962658" w:rsidRPr="00984E23">
          <w:rPr>
            <w:rStyle w:val="Hyperlink"/>
            <w:noProof/>
            <w:lang w:val="pt-BR"/>
          </w:rPr>
          <w:t>1.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Introdução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4" w:history="1">
        <w:r w:rsidR="00962658" w:rsidRPr="00984E23">
          <w:rPr>
            <w:rStyle w:val="Hyperlink"/>
            <w:noProof/>
            <w:lang w:val="pt-BR"/>
          </w:rPr>
          <w:t>1.1 Finalidade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5" w:history="1">
        <w:r w:rsidR="00962658" w:rsidRPr="00984E23">
          <w:rPr>
            <w:rStyle w:val="Hyperlink"/>
            <w:noProof/>
            <w:lang w:val="pt-BR"/>
          </w:rPr>
          <w:t>1.2 Escopo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6" w:history="1">
        <w:r w:rsidR="00962658" w:rsidRPr="00984E23">
          <w:rPr>
            <w:rStyle w:val="Hyperlink"/>
            <w:noProof/>
            <w:lang w:val="pt-BR"/>
          </w:rPr>
          <w:t>2.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Métricas de Custo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7" w:history="1">
        <w:r w:rsidR="00962658" w:rsidRPr="00984E23">
          <w:rPr>
            <w:rStyle w:val="Hyperlink"/>
            <w:rFonts w:cs="Arial"/>
            <w:noProof/>
            <w:lang w:val="pt-BR"/>
          </w:rPr>
          <w:t>2.1 Valores dos Recursos Humanos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8" w:history="1">
        <w:r w:rsidR="00962658" w:rsidRPr="00984E23">
          <w:rPr>
            <w:rStyle w:val="Hyperlink"/>
            <w:noProof/>
            <w:lang w:val="pt-BR"/>
          </w:rPr>
          <w:t>3.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Armazenamento das informações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9" w:history="1">
        <w:r w:rsidR="00962658" w:rsidRPr="00984E23">
          <w:rPr>
            <w:rStyle w:val="Hyperlink"/>
            <w:noProof/>
            <w:lang w:val="pt-BR"/>
          </w:rPr>
          <w:t>4.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Orçamento total do projeto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80" w:history="1">
        <w:r w:rsidR="00962658" w:rsidRPr="00984E23">
          <w:rPr>
            <w:rStyle w:val="Hyperlink"/>
            <w:noProof/>
            <w:lang w:val="pt-BR"/>
          </w:rPr>
          <w:t>5.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Atividades de custo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1" w:history="1">
        <w:r w:rsidR="00962658" w:rsidRPr="00984E23">
          <w:rPr>
            <w:rStyle w:val="Hyperlink"/>
            <w:rFonts w:cs="Arial"/>
            <w:noProof/>
            <w:lang w:val="pt-BR"/>
          </w:rPr>
          <w:t>5.1 Estimar custo da iteração atual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2" w:history="1">
        <w:r w:rsidR="00962658" w:rsidRPr="00984E23">
          <w:rPr>
            <w:rStyle w:val="Hyperlink"/>
            <w:rFonts w:cs="Arial"/>
            <w:noProof/>
            <w:lang w:val="pt-BR"/>
          </w:rPr>
          <w:t>5.2 Analisar iteração passada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658" w:rsidRDefault="006D658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3" w:history="1">
        <w:r w:rsidR="00962658" w:rsidRPr="00984E23">
          <w:rPr>
            <w:rStyle w:val="Hyperlink"/>
            <w:rFonts w:cs="Arial"/>
            <w:noProof/>
            <w:lang w:val="pt-BR"/>
          </w:rPr>
          <w:t>5.3 Monitorar/Atualizar Orçamento e Custo Total do Projeto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43C" w:rsidRDefault="006D658A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  <w:bookmarkStart w:id="0" w:name="_GoBack"/>
      <w:bookmarkEnd w:id="0"/>
    </w:p>
    <w:p w:rsidR="00A4243C" w:rsidRDefault="00A4243C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" w:name="_Toc524312826"/>
      <w:bookmarkStart w:id="2" w:name="_Toc355288273"/>
      <w:bookmarkStart w:id="3" w:name="_Toc447095880"/>
      <w:bookmarkStart w:id="4" w:name="_Toc456600917"/>
      <w:bookmarkStart w:id="5" w:name="_Toc456598586"/>
      <w:r w:rsidRPr="00816B73">
        <w:rPr>
          <w:sz w:val="20"/>
          <w:szCs w:val="20"/>
          <w:lang w:val="pt-BR"/>
        </w:rPr>
        <w:lastRenderedPageBreak/>
        <w:t>Introdução</w:t>
      </w:r>
      <w:bookmarkEnd w:id="1"/>
      <w:bookmarkEnd w:id="2"/>
    </w:p>
    <w:p w:rsidR="00C74E37" w:rsidRPr="00C74E37" w:rsidRDefault="00C74E37" w:rsidP="00C74E37">
      <w:pPr>
        <w:rPr>
          <w:lang w:val="pt-BR"/>
        </w:rPr>
      </w:pPr>
    </w:p>
    <w:p w:rsidR="00EA0CEA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56207B">
        <w:rPr>
          <w:rFonts w:ascii="Arial" w:hAnsi="Arial" w:cs="Arial"/>
          <w:snapToGrid/>
          <w:lang w:val="pt-BR" w:eastAsia="pt-BR"/>
        </w:rPr>
        <w:t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</w:t>
      </w:r>
    </w:p>
    <w:p w:rsidR="00EA0CEA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>
        <w:rPr>
          <w:rFonts w:ascii="Arial" w:hAnsi="Arial" w:cs="Arial"/>
          <w:snapToGrid/>
          <w:lang w:val="pt-BR" w:eastAsia="pt-BR"/>
        </w:rPr>
        <w:t>A criação de um plano de custos tem como objetivo informar a quem por direito, de todos os desvios de custos ou existência de custos não planejados com que a sua empresa ou organização pode se deparar.</w:t>
      </w:r>
    </w:p>
    <w:p w:rsidR="0056207B" w:rsidRPr="00E74500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A4243C" w:rsidRDefault="00BE35FD">
      <w:pPr>
        <w:pStyle w:val="Ttulo2"/>
        <w:rPr>
          <w:lang w:val="pt-BR"/>
        </w:rPr>
      </w:pPr>
      <w:bookmarkStart w:id="6" w:name="_Toc524312827"/>
      <w:bookmarkStart w:id="7" w:name="_Toc355288274"/>
      <w:r>
        <w:rPr>
          <w:lang w:val="pt-BR"/>
        </w:rPr>
        <w:t xml:space="preserve">1.1 </w:t>
      </w:r>
      <w:r w:rsidR="00A4243C">
        <w:rPr>
          <w:lang w:val="pt-BR"/>
        </w:rPr>
        <w:t>Finalidade</w:t>
      </w:r>
      <w:bookmarkEnd w:id="6"/>
      <w:bookmarkEnd w:id="7"/>
    </w:p>
    <w:p w:rsidR="00C74E37" w:rsidRPr="00C74E37" w:rsidRDefault="00C74E37" w:rsidP="00C74E37">
      <w:pPr>
        <w:rPr>
          <w:lang w:val="pt-BR"/>
        </w:rPr>
      </w:pPr>
    </w:p>
    <w:p w:rsidR="0056207B" w:rsidRDefault="00D559A9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bookmarkStart w:id="8" w:name="_Toc524312828"/>
      <w:r>
        <w:rPr>
          <w:rFonts w:ascii="Arial" w:hAnsi="Arial" w:cs="Arial"/>
          <w:snapToGrid/>
          <w:lang w:val="pt-BR" w:eastAsia="pt-BR"/>
        </w:rPr>
        <w:t>Este</w:t>
      </w:r>
      <w:r w:rsidR="0056207B" w:rsidRPr="007404AC">
        <w:rPr>
          <w:rFonts w:ascii="Arial" w:hAnsi="Arial" w:cs="Arial"/>
          <w:snapToGrid/>
          <w:lang w:val="pt-BR" w:eastAsia="pt-BR"/>
        </w:rPr>
        <w:t xml:space="preserve"> Plano de Custo visa estabelecer diretrizes pertinentes ao custo do Projeto </w:t>
      </w:r>
      <w:r w:rsidR="0038487B">
        <w:rPr>
          <w:rFonts w:ascii="Arial" w:hAnsi="Arial" w:cs="Arial"/>
          <w:snapToGrid/>
          <w:lang w:val="pt-BR" w:eastAsia="pt-BR"/>
        </w:rPr>
        <w:t xml:space="preserve">ManSAD </w:t>
      </w:r>
      <w:r w:rsidR="0056207B" w:rsidRPr="007404AC">
        <w:rPr>
          <w:rFonts w:ascii="Arial" w:hAnsi="Arial" w:cs="Arial"/>
          <w:snapToGrid/>
          <w:lang w:val="pt-BR" w:eastAsia="pt-BR"/>
        </w:rPr>
        <w:t>e informá-las aos interessados. Como devem ser estimados os custos, em relação a quê devem ser calculados, onde deve</w:t>
      </w:r>
      <w:r w:rsidR="0056207B">
        <w:rPr>
          <w:rFonts w:ascii="Arial" w:hAnsi="Arial" w:cs="Arial"/>
          <w:snapToGrid/>
          <w:lang w:val="pt-BR" w:eastAsia="pt-BR"/>
        </w:rPr>
        <w:t>m</w:t>
      </w:r>
      <w:r w:rsidR="0056207B" w:rsidRPr="007404AC">
        <w:rPr>
          <w:rFonts w:ascii="Arial" w:hAnsi="Arial" w:cs="Arial"/>
          <w:snapToGrid/>
          <w:lang w:val="pt-BR" w:eastAsia="pt-BR"/>
        </w:rPr>
        <w:t xml:space="preserve"> ser armazenado</w:t>
      </w:r>
      <w:r w:rsidR="0056207B">
        <w:rPr>
          <w:rFonts w:ascii="Arial" w:hAnsi="Arial" w:cs="Arial"/>
          <w:snapToGrid/>
          <w:lang w:val="pt-BR" w:eastAsia="pt-BR"/>
        </w:rPr>
        <w:t>s</w:t>
      </w:r>
      <w:r w:rsidR="0056207B" w:rsidRPr="007404AC">
        <w:rPr>
          <w:rFonts w:ascii="Arial" w:hAnsi="Arial" w:cs="Arial"/>
          <w:snapToGrid/>
          <w:lang w:val="pt-BR" w:eastAsia="pt-BR"/>
        </w:rPr>
        <w:t>, a quem devem ser informados e quando devem ser estimados, calculados, armazenados, monitorados, etc.</w:t>
      </w:r>
    </w:p>
    <w:p w:rsidR="0056207B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</w:p>
    <w:p w:rsidR="00A4243C" w:rsidRDefault="00BE35FD">
      <w:pPr>
        <w:pStyle w:val="Ttulo2"/>
        <w:rPr>
          <w:lang w:val="pt-BR"/>
        </w:rPr>
      </w:pPr>
      <w:bookmarkStart w:id="9" w:name="_Toc355288275"/>
      <w:r>
        <w:rPr>
          <w:lang w:val="pt-BR"/>
        </w:rPr>
        <w:t xml:space="preserve">1.2 </w:t>
      </w:r>
      <w:r w:rsidR="00A4243C">
        <w:rPr>
          <w:lang w:val="pt-BR"/>
        </w:rPr>
        <w:t>Escopo</w:t>
      </w:r>
      <w:bookmarkEnd w:id="8"/>
      <w:bookmarkEnd w:id="9"/>
    </w:p>
    <w:p w:rsidR="00C74E37" w:rsidRPr="00C74E37" w:rsidRDefault="00C74E37" w:rsidP="00C74E37">
      <w:pPr>
        <w:rPr>
          <w:lang w:val="pt-BR"/>
        </w:rPr>
      </w:pPr>
    </w:p>
    <w:p w:rsidR="00D53D8B" w:rsidRDefault="00D53D8B" w:rsidP="00D53D8B">
      <w:pPr>
        <w:jc w:val="both"/>
        <w:rPr>
          <w:rFonts w:ascii="Arial" w:hAnsi="Arial" w:cs="Arial"/>
          <w:lang w:val="pt-BR"/>
        </w:rPr>
      </w:pPr>
      <w:r w:rsidRPr="00D53D8B">
        <w:rPr>
          <w:rFonts w:ascii="Arial" w:hAnsi="Arial" w:cs="Arial"/>
          <w:lang w:val="pt-BR"/>
        </w:rPr>
        <w:tab/>
        <w:t xml:space="preserve">O escopo deste plano </w:t>
      </w:r>
      <w:r>
        <w:rPr>
          <w:rFonts w:ascii="Arial" w:hAnsi="Arial" w:cs="Arial"/>
          <w:lang w:val="pt-BR"/>
        </w:rPr>
        <w:t>abrange o</w:t>
      </w:r>
      <w:r w:rsidRPr="00D53D8B">
        <w:rPr>
          <w:rFonts w:ascii="Arial" w:hAnsi="Arial" w:cs="Arial"/>
          <w:lang w:val="pt-BR"/>
        </w:rPr>
        <w:t xml:space="preserve"> projeto </w:t>
      </w:r>
      <w:r w:rsidR="0038487B">
        <w:rPr>
          <w:rFonts w:ascii="Arial" w:hAnsi="Arial" w:cs="Arial"/>
          <w:lang w:val="pt-BR"/>
        </w:rPr>
        <w:t>ManSAD</w:t>
      </w:r>
      <w:r>
        <w:rPr>
          <w:rFonts w:ascii="Arial" w:hAnsi="Arial" w:cs="Arial"/>
          <w:lang w:val="pt-BR"/>
        </w:rPr>
        <w:t xml:space="preserve"> e tudo que estiver diret</w:t>
      </w:r>
      <w:r w:rsidR="005C1F21">
        <w:rPr>
          <w:rFonts w:ascii="Arial" w:hAnsi="Arial" w:cs="Arial"/>
          <w:lang w:val="pt-BR"/>
        </w:rPr>
        <w:t>amente</w:t>
      </w:r>
      <w:r>
        <w:rPr>
          <w:rFonts w:ascii="Arial" w:hAnsi="Arial" w:cs="Arial"/>
          <w:lang w:val="pt-BR"/>
        </w:rPr>
        <w:t xml:space="preserve"> e/ou indiretamente ligado ao projeto em questão</w:t>
      </w:r>
      <w:r w:rsidRPr="00D53D8B">
        <w:rPr>
          <w:rFonts w:ascii="Arial" w:hAnsi="Arial" w:cs="Arial"/>
          <w:lang w:val="pt-BR"/>
        </w:rPr>
        <w:t>.</w:t>
      </w:r>
    </w:p>
    <w:p w:rsidR="00D53D8B" w:rsidRDefault="00D53D8B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Pr="00D53D8B" w:rsidRDefault="00C74E37" w:rsidP="00D53D8B">
      <w:pPr>
        <w:rPr>
          <w:rFonts w:ascii="Arial" w:hAnsi="Arial" w:cs="Arial"/>
          <w:lang w:val="pt-BR"/>
        </w:rPr>
      </w:pPr>
    </w:p>
    <w:p w:rsidR="0095625D" w:rsidRDefault="0095625D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0" w:name="_Toc355288276"/>
      <w:r>
        <w:rPr>
          <w:sz w:val="20"/>
          <w:szCs w:val="20"/>
          <w:lang w:val="pt-BR"/>
        </w:rPr>
        <w:lastRenderedPageBreak/>
        <w:t>Métricas de Custo</w:t>
      </w:r>
      <w:bookmarkEnd w:id="10"/>
    </w:p>
    <w:p w:rsidR="00C74E37" w:rsidRPr="00C74E37" w:rsidRDefault="00C74E37" w:rsidP="00C74E37">
      <w:pPr>
        <w:rPr>
          <w:lang w:val="pt-BR"/>
        </w:rPr>
      </w:pPr>
    </w:p>
    <w:p w:rsidR="0095625D" w:rsidRDefault="0095625D" w:rsidP="0095625D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95625D">
        <w:rPr>
          <w:rFonts w:ascii="Arial" w:hAnsi="Arial" w:cs="Arial"/>
          <w:snapToGrid/>
          <w:lang w:val="pt-BR" w:eastAsia="pt-BR"/>
        </w:rPr>
        <w:t>Os únicos custos do projeto são relacionados a recursos humanos, portanto todo o</w:t>
      </w:r>
      <w:r>
        <w:rPr>
          <w:rFonts w:ascii="Arial" w:hAnsi="Arial" w:cs="Arial"/>
          <w:snapToGrid/>
          <w:lang w:val="pt-BR" w:eastAsia="pt-BR"/>
        </w:rPr>
        <w:t xml:space="preserve"> </w:t>
      </w:r>
      <w:r w:rsidRPr="0095625D">
        <w:rPr>
          <w:rFonts w:ascii="Arial" w:hAnsi="Arial" w:cs="Arial"/>
          <w:snapToGrid/>
          <w:lang w:val="pt-BR" w:eastAsia="pt-BR"/>
        </w:rPr>
        <w:t>cálculo dos cus</w:t>
      </w:r>
      <w:r>
        <w:rPr>
          <w:rFonts w:ascii="Arial" w:hAnsi="Arial" w:cs="Arial"/>
          <w:snapToGrid/>
          <w:lang w:val="pt-BR" w:eastAsia="pt-BR"/>
        </w:rPr>
        <w:t>tos do projeto será</w:t>
      </w:r>
      <w:r w:rsidRPr="0095625D">
        <w:rPr>
          <w:rFonts w:ascii="Arial" w:hAnsi="Arial" w:cs="Arial"/>
          <w:snapToGrid/>
          <w:lang w:val="pt-BR" w:eastAsia="pt-BR"/>
        </w:rPr>
        <w:t xml:space="preserve"> baseado nas horas estimadas e gastas dos recursos.</w:t>
      </w:r>
    </w:p>
    <w:p w:rsidR="0095625D" w:rsidRDefault="0095625D" w:rsidP="0095625D">
      <w:pPr>
        <w:widowControl/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</w:p>
    <w:p w:rsidR="0095625D" w:rsidRPr="006E4D9E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6E4D9E">
        <w:rPr>
          <w:rFonts w:ascii="Arial" w:hAnsi="Arial" w:cs="Arial"/>
          <w:snapToGrid/>
          <w:lang w:val="pt-BR" w:eastAsia="pt-BR"/>
        </w:rPr>
        <w:t>Custo estimado = esforço estimado (horas) X valor (hora/papel)</w:t>
      </w:r>
    </w:p>
    <w:p w:rsidR="0095625D" w:rsidRPr="006E4D9E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6E4D9E">
        <w:rPr>
          <w:rFonts w:ascii="Arial" w:hAnsi="Arial" w:cs="Arial"/>
          <w:snapToGrid/>
          <w:lang w:val="pt-BR" w:eastAsia="pt-BR"/>
        </w:rPr>
        <w:t>Custo concedido = esforço concedido (horas) x valor (hora/papel)</w:t>
      </w:r>
    </w:p>
    <w:p w:rsidR="00BE35FD" w:rsidRDefault="0095625D" w:rsidP="0013201C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95625D">
        <w:rPr>
          <w:rFonts w:ascii="Arial" w:hAnsi="Arial" w:cs="Arial"/>
          <w:snapToGrid/>
          <w:lang w:val="pt-BR" w:eastAsia="pt-BR"/>
        </w:rPr>
        <w:t>Custo real = esforço realizado (horas) X valor (hora/papel)</w:t>
      </w:r>
    </w:p>
    <w:p w:rsidR="00D80B36" w:rsidRDefault="00D80B36" w:rsidP="0095625D">
      <w:pPr>
        <w:pStyle w:val="Corpodetexto"/>
        <w:spacing w:after="0" w:line="240" w:lineRule="auto"/>
        <w:ind w:left="0"/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pStyle w:val="Ttulo2"/>
        <w:rPr>
          <w:rFonts w:cs="Arial"/>
          <w:lang w:val="pt-BR"/>
        </w:rPr>
      </w:pPr>
      <w:bookmarkStart w:id="11" w:name="_Toc355288277"/>
      <w:bookmarkStart w:id="12" w:name="_Toc524312830"/>
      <w:r w:rsidRPr="006E4D9E">
        <w:rPr>
          <w:rFonts w:cs="Arial"/>
          <w:lang w:val="pt-BR"/>
        </w:rPr>
        <w:t>2.1 Valores dos Recursos Humanos</w:t>
      </w:r>
      <w:bookmarkEnd w:id="11"/>
    </w:p>
    <w:p w:rsidR="00C74E37" w:rsidRPr="00C74E37" w:rsidRDefault="00C74E37" w:rsidP="00C74E37">
      <w:pPr>
        <w:rPr>
          <w:lang w:val="pt-BR"/>
        </w:rPr>
      </w:pPr>
    </w:p>
    <w:p w:rsidR="006E4D9E" w:rsidRDefault="006E4D9E" w:rsidP="006E4D9E">
      <w:pPr>
        <w:jc w:val="both"/>
        <w:rPr>
          <w:rFonts w:ascii="Arial" w:hAnsi="Arial" w:cs="Arial"/>
          <w:lang w:val="pt-BR"/>
        </w:rPr>
      </w:pPr>
      <w:r w:rsidRPr="006E4D9E">
        <w:rPr>
          <w:rFonts w:ascii="Arial" w:hAnsi="Arial" w:cs="Arial"/>
          <w:lang w:val="pt-BR"/>
        </w:rPr>
        <w:tab/>
        <w:t>Existe</w:t>
      </w:r>
      <w:r>
        <w:rPr>
          <w:rFonts w:ascii="Arial" w:hAnsi="Arial" w:cs="Arial"/>
          <w:lang w:val="pt-BR"/>
        </w:rPr>
        <w:t>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p w:rsidR="00C74E37" w:rsidRDefault="00C74E37" w:rsidP="006E4D9E">
      <w:pPr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4077"/>
        <w:gridCol w:w="3828"/>
      </w:tblGrid>
      <w:tr w:rsidR="006E4D9E" w:rsidRPr="00361F6C" w:rsidTr="001B3EAD">
        <w:trPr>
          <w:jc w:val="center"/>
        </w:trPr>
        <w:tc>
          <w:tcPr>
            <w:tcW w:w="4077" w:type="dxa"/>
            <w:shd w:val="clear" w:color="auto" w:fill="F2F2F2" w:themeFill="background1" w:themeFillShade="F2"/>
          </w:tcPr>
          <w:p w:rsidR="006E4D9E" w:rsidRPr="00361F6C" w:rsidRDefault="006E4D9E" w:rsidP="006E4D9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Valor Hora Papel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Tempo e Risco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Escopo e Qualidade do Produto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Comunicação e RH </w:t>
            </w:r>
          </w:p>
        </w:tc>
        <w:tc>
          <w:tcPr>
            <w:tcW w:w="3828" w:type="dxa"/>
          </w:tcPr>
          <w:p w:rsidR="006E4D9E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Custo e Aquisição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Integração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Medição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Configuração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17,10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Qualidade do Processo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Reutilização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Requisitos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Usabilidade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Projetista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Desenvolvedor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Administrador de BD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Teste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</w:tbl>
    <w:p w:rsidR="006E4D9E" w:rsidRDefault="006E4D9E" w:rsidP="006E4D9E">
      <w:pPr>
        <w:rPr>
          <w:rFonts w:ascii="Arial" w:hAnsi="Arial" w:cs="Arial"/>
          <w:lang w:val="pt-BR"/>
        </w:rPr>
      </w:pPr>
    </w:p>
    <w:p w:rsidR="006E4D9E" w:rsidRDefault="006E4D9E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3" w:name="_Toc355288278"/>
      <w:r>
        <w:rPr>
          <w:sz w:val="20"/>
          <w:szCs w:val="20"/>
          <w:lang w:val="pt-BR"/>
        </w:rPr>
        <w:lastRenderedPageBreak/>
        <w:t>Armazenamento das informações</w:t>
      </w:r>
      <w:bookmarkEnd w:id="13"/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361F6C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orçamento total do projeto e o custo de cada iteração separadamente e detalhadamente é descrito no documento de Cronograma do Projeto. Este orçamento abrange as atividades de cada iteração, horas estimadas, horas gastas, custo estimado, custo realizado, somatória das iterações e projeção do custo do projeto, entre outras informações.</w:t>
      </w:r>
    </w:p>
    <w:p w:rsidR="00361F6C" w:rsidRDefault="00361F6C" w:rsidP="00361F6C">
      <w:pPr>
        <w:ind w:left="720"/>
        <w:jc w:val="both"/>
        <w:rPr>
          <w:rFonts w:ascii="Arial" w:hAnsi="Arial" w:cs="Arial"/>
          <w:lang w:val="pt-BR"/>
        </w:rPr>
      </w:pPr>
    </w:p>
    <w:p w:rsidR="00A8625B" w:rsidRDefault="00A8625B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4" w:name="_Toc355288279"/>
      <w:r>
        <w:rPr>
          <w:sz w:val="20"/>
          <w:szCs w:val="20"/>
          <w:lang w:val="pt-BR"/>
        </w:rPr>
        <w:t>Orçamento total do projeto</w:t>
      </w:r>
      <w:bookmarkEnd w:id="14"/>
    </w:p>
    <w:p w:rsidR="00361F6C" w:rsidRDefault="00361F6C" w:rsidP="00A8625B">
      <w:pPr>
        <w:jc w:val="both"/>
        <w:rPr>
          <w:rFonts w:ascii="Arial" w:hAnsi="Arial" w:cs="Arial"/>
          <w:lang w:val="pt-BR"/>
        </w:rPr>
      </w:pPr>
    </w:p>
    <w:p w:rsidR="00A8625B" w:rsidRDefault="00A8625B" w:rsidP="00A8625B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orçamento total do projeto é um documento onde constam as projeções de gasto do projeto desde seu início até seu fim e deve ser atualizado periodicamente, ou seja, em cada iteração. Estas atualizações permitem que se registre não só o custo previsto como também o custo realizado das iterações.</w:t>
      </w:r>
    </w:p>
    <w:p w:rsidR="00A8625B" w:rsidRPr="00A8625B" w:rsidRDefault="00A8625B" w:rsidP="00BB1B0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Qualquer desvio no orçamento de forma que um custo realizado resulte em valores bem </w:t>
      </w:r>
      <w:r>
        <w:rPr>
          <w:rFonts w:ascii="Arial" w:hAnsi="Arial" w:cs="Arial"/>
          <w:b/>
          <w:lang w:val="pt-BR"/>
        </w:rPr>
        <w:t>superiores</w:t>
      </w:r>
      <w:r>
        <w:rPr>
          <w:rFonts w:ascii="Arial" w:hAnsi="Arial" w:cs="Arial"/>
          <w:lang w:val="pt-BR"/>
        </w:rPr>
        <w:t xml:space="preserve"> ou bem </w:t>
      </w:r>
      <w:r>
        <w:rPr>
          <w:rFonts w:ascii="Arial" w:hAnsi="Arial" w:cs="Arial"/>
          <w:b/>
          <w:lang w:val="pt-BR"/>
        </w:rPr>
        <w:t>inferiores</w:t>
      </w:r>
      <w:r>
        <w:rPr>
          <w:rFonts w:ascii="Arial" w:hAnsi="Arial" w:cs="Arial"/>
          <w:lang w:val="pt-BR"/>
        </w:rPr>
        <w:t xml:space="preserve"> ao </w:t>
      </w:r>
      <w:r w:rsidR="00BB1B09">
        <w:rPr>
          <w:rFonts w:ascii="Arial" w:hAnsi="Arial" w:cs="Arial"/>
          <w:lang w:val="pt-BR"/>
        </w:rPr>
        <w:t>custo previsto</w:t>
      </w:r>
      <w:r>
        <w:rPr>
          <w:rFonts w:ascii="Arial" w:hAnsi="Arial" w:cs="Arial"/>
          <w:lang w:val="pt-BR"/>
        </w:rPr>
        <w:t>, deve ser analisado, apresentado e resolvido com o Patrocinador do projeto.</w:t>
      </w:r>
    </w:p>
    <w:p w:rsidR="00A8625B" w:rsidRDefault="00A8625B" w:rsidP="00A8625B">
      <w:pPr>
        <w:ind w:firstLine="720"/>
        <w:jc w:val="both"/>
        <w:rPr>
          <w:rFonts w:ascii="Arial" w:hAnsi="Arial" w:cs="Arial"/>
          <w:lang w:val="pt-BR"/>
        </w:rPr>
      </w:pPr>
    </w:p>
    <w:p w:rsidR="00BB1B09" w:rsidRDefault="00BB1B09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5" w:name="_Toc355288280"/>
      <w:r>
        <w:rPr>
          <w:sz w:val="20"/>
          <w:szCs w:val="20"/>
          <w:lang w:val="pt-BR"/>
        </w:rPr>
        <w:t>Atividades de custo</w:t>
      </w:r>
      <w:bookmarkEnd w:id="15"/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6" w:name="_Toc355288281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 xml:space="preserve">.1 </w:t>
      </w:r>
      <w:r>
        <w:rPr>
          <w:rFonts w:cs="Arial"/>
          <w:lang w:val="pt-BR"/>
        </w:rPr>
        <w:t>Estimar custo da iteração atual</w:t>
      </w:r>
      <w:bookmarkEnd w:id="16"/>
    </w:p>
    <w:p w:rsidR="008E55B2" w:rsidRDefault="008E55B2" w:rsidP="008E55B2">
      <w:pPr>
        <w:rPr>
          <w:lang w:val="pt-BR"/>
        </w:rPr>
      </w:pPr>
    </w:p>
    <w:p w:rsidR="008E55B2" w:rsidRDefault="008E55B2" w:rsidP="008E55B2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</w:t>
      </w:r>
    </w:p>
    <w:p w:rsidR="008E55B2" w:rsidRDefault="008E55B2" w:rsidP="008E55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estimativa do custo da iteração acontece da seguinte forma:</w:t>
      </w:r>
    </w:p>
    <w:p w:rsidR="008E55B2" w:rsidRDefault="008E55B2" w:rsidP="008E55B2">
      <w:pPr>
        <w:rPr>
          <w:rFonts w:ascii="Arial" w:hAnsi="Arial" w:cs="Arial"/>
          <w:lang w:val="pt-BR"/>
        </w:rPr>
      </w:pP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Ao serem definidas as atividades da iteração, estas devem ser estimadas pelos responsáveis que irão executá-las conforme o Plano de Gerência de Tempo.</w:t>
      </w: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Ao terem suas horas estimadas, pode-se estimar o custo das atividades.</w:t>
      </w: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 soma do custo das atividades é o custo estimado da iteração.</w:t>
      </w:r>
    </w:p>
    <w:p w:rsidR="008E55B2" w:rsidRDefault="008E55B2" w:rsidP="008E55B2">
      <w:pPr>
        <w:rPr>
          <w:rFonts w:ascii="Arial" w:hAnsi="Arial" w:cs="Arial"/>
          <w:lang w:val="pt-BR"/>
        </w:rPr>
      </w:pPr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7" w:name="_Toc355288282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2</w:t>
      </w:r>
      <w:r w:rsidRPr="006E4D9E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Analisar iteração passada</w:t>
      </w:r>
      <w:bookmarkEnd w:id="17"/>
    </w:p>
    <w:p w:rsidR="008E55B2" w:rsidRPr="008E55B2" w:rsidRDefault="008E55B2" w:rsidP="008E55B2">
      <w:pPr>
        <w:rPr>
          <w:lang w:val="pt-BR"/>
        </w:rPr>
      </w:pP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8E55B2">
        <w:rPr>
          <w:rFonts w:ascii="Arial" w:hAnsi="Arial" w:cs="Arial"/>
          <w:snapToGrid/>
          <w:lang w:val="pt-BR" w:eastAsia="pt-BR"/>
        </w:rPr>
        <w:t>Ao fechar uma iteração é possível visualizar todas as atividades realizadas e todas as</w:t>
      </w:r>
      <w:r>
        <w:rPr>
          <w:rFonts w:ascii="Arial" w:hAnsi="Arial" w:cs="Arial"/>
          <w:snapToGrid/>
          <w:lang w:val="pt-BR" w:eastAsia="pt-BR"/>
        </w:rPr>
        <w:t xml:space="preserve"> </w:t>
      </w:r>
      <w:r w:rsidRPr="008E55B2">
        <w:rPr>
          <w:rFonts w:ascii="Arial" w:hAnsi="Arial" w:cs="Arial"/>
          <w:snapToGrid/>
          <w:lang w:val="pt-BR" w:eastAsia="pt-BR"/>
        </w:rPr>
        <w:t>horas gastas para se realizar as atividades. Deve ser calculado o custo real da iteração com base nas horas reais gastas. Esta análise deve ser feit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 xml:space="preserve">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8" w:name="_Toc355288283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3</w:t>
      </w:r>
      <w:r w:rsidRPr="006E4D9E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Monitorar/Atualizar Orçamento e Custo Total do Projeto</w:t>
      </w:r>
      <w:bookmarkEnd w:id="18"/>
    </w:p>
    <w:p w:rsidR="008E55B2" w:rsidRPr="008E55B2" w:rsidRDefault="008E55B2" w:rsidP="008E55B2">
      <w:pPr>
        <w:rPr>
          <w:lang w:val="pt-BR"/>
        </w:rPr>
      </w:pP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8E55B2">
        <w:rPr>
          <w:rFonts w:ascii="Arial" w:hAnsi="Arial" w:cs="Arial"/>
          <w:snapToGrid/>
          <w:lang w:val="pt-BR" w:eastAsia="pt-BR"/>
        </w:rPr>
        <w:t>O Orçamento Total do Projeto deve ser atualizado ao menos uma vez em toda iteração contemplando os valores de Custo Previsto da iteração corrente e Custo Re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>lizado da iteração passada em relação à iteraçã</w:t>
      </w:r>
      <w:r>
        <w:rPr>
          <w:rFonts w:ascii="Arial" w:hAnsi="Arial" w:cs="Arial"/>
          <w:snapToGrid/>
          <w:lang w:val="pt-BR" w:eastAsia="pt-BR"/>
        </w:rPr>
        <w:t>o corrente.</w:t>
      </w:r>
    </w:p>
    <w:p w:rsidR="00A4243C" w:rsidRP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snapToGrid/>
          <w:lang w:val="pt-BR" w:eastAsia="pt-BR"/>
        </w:rPr>
        <w:t xml:space="preserve">Deve-se </w:t>
      </w:r>
      <w:r>
        <w:rPr>
          <w:rFonts w:ascii="Arial" w:hAnsi="Arial" w:cs="Arial"/>
          <w:snapToGrid/>
          <w:lang w:val="pt-BR" w:eastAsia="pt-BR"/>
        </w:rPr>
        <w:t>atentar</w:t>
      </w:r>
      <w:r w:rsidRPr="008E55B2">
        <w:rPr>
          <w:rFonts w:ascii="Arial" w:hAnsi="Arial" w:cs="Arial"/>
          <w:snapToGrid/>
          <w:lang w:val="pt-BR" w:eastAsia="pt-BR"/>
        </w:rPr>
        <w:t xml:space="preserve"> 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>os valores</w:t>
      </w:r>
      <w:r>
        <w:rPr>
          <w:rFonts w:ascii="Arial" w:hAnsi="Arial" w:cs="Arial"/>
          <w:snapToGrid/>
          <w:lang w:val="pt-BR" w:eastAsia="pt-BR"/>
        </w:rPr>
        <w:t>, verificando se estes</w:t>
      </w:r>
      <w:r w:rsidRPr="008E55B2">
        <w:rPr>
          <w:rFonts w:ascii="Arial" w:hAnsi="Arial" w:cs="Arial"/>
          <w:snapToGrid/>
          <w:lang w:val="pt-BR" w:eastAsia="pt-BR"/>
        </w:rPr>
        <w:t xml:space="preserve"> não se distanciam 10% para mais ou para menos em relação ao valor da projeção para a iteraçã</w:t>
      </w:r>
      <w:r>
        <w:rPr>
          <w:rFonts w:ascii="Arial" w:hAnsi="Arial" w:cs="Arial"/>
          <w:snapToGrid/>
          <w:lang w:val="pt-BR" w:eastAsia="pt-BR"/>
        </w:rPr>
        <w:t>o.</w:t>
      </w:r>
      <w:r w:rsidRPr="008E55B2">
        <w:rPr>
          <w:rFonts w:ascii="Arial" w:hAnsi="Arial" w:cs="Arial"/>
          <w:snapToGrid/>
          <w:lang w:val="pt-BR" w:eastAsia="pt-BR"/>
        </w:rPr>
        <w:t xml:space="preserve"> </w:t>
      </w:r>
      <w:r>
        <w:rPr>
          <w:rFonts w:ascii="Arial" w:hAnsi="Arial" w:cs="Arial"/>
          <w:snapToGrid/>
          <w:lang w:val="pt-BR" w:eastAsia="pt-BR"/>
        </w:rPr>
        <w:t>C</w:t>
      </w:r>
      <w:r w:rsidRPr="008E55B2">
        <w:rPr>
          <w:rFonts w:ascii="Arial" w:hAnsi="Arial" w:cs="Arial"/>
          <w:snapToGrid/>
          <w:lang w:val="pt-BR" w:eastAsia="pt-BR"/>
        </w:rPr>
        <w:t>aso aconteç</w:t>
      </w:r>
      <w:r>
        <w:rPr>
          <w:rFonts w:ascii="Arial" w:hAnsi="Arial" w:cs="Arial"/>
          <w:snapToGrid/>
          <w:lang w:val="pt-BR" w:eastAsia="pt-BR"/>
        </w:rPr>
        <w:t xml:space="preserve">a, </w:t>
      </w:r>
      <w:r w:rsidRPr="008E55B2">
        <w:rPr>
          <w:rFonts w:ascii="Arial" w:hAnsi="Arial" w:cs="Arial"/>
          <w:snapToGrid/>
          <w:lang w:val="pt-BR" w:eastAsia="pt-BR"/>
        </w:rPr>
        <w:t xml:space="preserve">uma análise </w:t>
      </w:r>
      <w:r>
        <w:rPr>
          <w:rFonts w:ascii="Arial" w:hAnsi="Arial" w:cs="Arial"/>
          <w:snapToGrid/>
          <w:lang w:val="pt-BR" w:eastAsia="pt-BR"/>
        </w:rPr>
        <w:t xml:space="preserve">deverá ser realizada </w:t>
      </w:r>
      <w:r w:rsidRPr="008E55B2">
        <w:rPr>
          <w:rFonts w:ascii="Arial" w:hAnsi="Arial" w:cs="Arial"/>
          <w:snapToGrid/>
          <w:lang w:val="pt-BR" w:eastAsia="pt-BR"/>
        </w:rPr>
        <w:t>para corrigir o desvio e caso não resolvido, o desvio deve ser apresentado e resolvido com o Patrocinador do projeto.</w:t>
      </w:r>
      <w:bookmarkEnd w:id="3"/>
      <w:bookmarkEnd w:id="4"/>
      <w:bookmarkEnd w:id="5"/>
      <w:bookmarkEnd w:id="12"/>
    </w:p>
    <w:sectPr w:rsidR="00A4243C" w:rsidRPr="008E55B2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C26" w:rsidRDefault="009C7C26" w:rsidP="00A4243C">
      <w:pPr>
        <w:spacing w:line="240" w:lineRule="auto"/>
      </w:pPr>
      <w:r>
        <w:separator/>
      </w:r>
    </w:p>
  </w:endnote>
  <w:endnote w:type="continuationSeparator" w:id="1">
    <w:p w:rsidR="009C7C26" w:rsidRDefault="009C7C2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D658A">
            <w:fldChar w:fldCharType="begin"/>
          </w:r>
          <w:r w:rsidR="00A4243C">
            <w:instrText xml:space="preserve"> DATE \@ "yyyy" </w:instrText>
          </w:r>
          <w:r w:rsidR="006D658A">
            <w:fldChar w:fldCharType="separate"/>
          </w:r>
          <w:r w:rsidR="00E74500">
            <w:rPr>
              <w:noProof/>
            </w:rPr>
            <w:t>2013</w:t>
          </w:r>
          <w:r w:rsidR="006D658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D658A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D658A">
            <w:rPr>
              <w:rStyle w:val="Nmerodepgina"/>
              <w:lang w:val="pt-BR"/>
            </w:rPr>
            <w:fldChar w:fldCharType="separate"/>
          </w:r>
          <w:r w:rsidR="0038487B">
            <w:rPr>
              <w:rStyle w:val="Nmerodepgina"/>
              <w:noProof/>
              <w:lang w:val="pt-BR"/>
            </w:rPr>
            <w:t>6</w:t>
          </w:r>
          <w:r w:rsidR="006D658A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38487B" w:rsidRPr="0038487B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C26" w:rsidRDefault="009C7C26" w:rsidP="00A4243C">
      <w:pPr>
        <w:spacing w:line="240" w:lineRule="auto"/>
      </w:pPr>
      <w:r>
        <w:separator/>
      </w:r>
    </w:p>
  </w:footnote>
  <w:footnote w:type="continuationSeparator" w:id="1">
    <w:p w:rsidR="009C7C26" w:rsidRDefault="009C7C2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E74500" w:rsidP="00DF5197"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B470F1" w:rsidP="00B22F24">
          <w:pPr>
            <w:rPr>
              <w:lang w:val="pt-BR"/>
            </w:rPr>
          </w:pPr>
          <w:r>
            <w:t>Plano de Custo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B36CC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F5197">
            <w:rPr>
              <w:lang w:val="pt-BR"/>
            </w:rPr>
            <w:t>01/0</w:t>
          </w:r>
          <w:r w:rsidR="00B36CC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E745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E74500" w:rsidP="009D5DF8">
          <w:pPr>
            <w:rPr>
              <w:lang w:val="pt-BR"/>
            </w:rPr>
          </w:pPr>
          <w:r>
            <w:rPr>
              <w:lang w:val="pt-BR"/>
            </w:rPr>
            <w:t>MANSAD</w:t>
          </w:r>
          <w:r w:rsidR="00B470F1">
            <w:rPr>
              <w:lang w:val="pt-BR"/>
            </w:rPr>
            <w:t>_</w:t>
          </w:r>
          <w:r w:rsidR="009D5DF8">
            <w:rPr>
              <w:lang w:val="pt-BR"/>
            </w:rPr>
            <w:t>GPR_</w:t>
          </w:r>
          <w:r w:rsidR="00B470F1">
            <w:rPr>
              <w:lang w:val="pt-BR"/>
            </w:rPr>
            <w:t>PLCU_</w:t>
          </w:r>
          <w:r w:rsidR="009D5DF8">
            <w:rPr>
              <w:lang w:val="pt-BR"/>
            </w:rPr>
            <w:t>p</w:t>
          </w:r>
          <w:r w:rsidR="00B470F1">
            <w:rPr>
              <w:lang w:val="pt-BR"/>
            </w:rPr>
            <w:t>lano_de_</w:t>
          </w:r>
          <w:r w:rsidR="009D5DF8">
            <w:rPr>
              <w:lang w:val="pt-BR"/>
            </w:rPr>
            <w:t>c</w:t>
          </w:r>
          <w:r w:rsidR="00B470F1">
            <w:rPr>
              <w:lang w:val="pt-BR"/>
            </w:rPr>
            <w:t>usto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327425"/>
    <w:rsid w:val="00361F6C"/>
    <w:rsid w:val="0038487B"/>
    <w:rsid w:val="004936A5"/>
    <w:rsid w:val="004D3FA8"/>
    <w:rsid w:val="0056207B"/>
    <w:rsid w:val="005A7362"/>
    <w:rsid w:val="005C1F21"/>
    <w:rsid w:val="00653285"/>
    <w:rsid w:val="006D658A"/>
    <w:rsid w:val="006E4D9E"/>
    <w:rsid w:val="007404AC"/>
    <w:rsid w:val="007C05F4"/>
    <w:rsid w:val="00816B73"/>
    <w:rsid w:val="008832DD"/>
    <w:rsid w:val="008E55B2"/>
    <w:rsid w:val="0095625D"/>
    <w:rsid w:val="00962658"/>
    <w:rsid w:val="0098097F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C2636"/>
    <w:rsid w:val="00D25F14"/>
    <w:rsid w:val="00D53D8B"/>
    <w:rsid w:val="00D559A9"/>
    <w:rsid w:val="00D80B36"/>
    <w:rsid w:val="00D906FA"/>
    <w:rsid w:val="00DD21BC"/>
    <w:rsid w:val="00DF5197"/>
    <w:rsid w:val="00E74500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49</TotalTime>
  <Pages>6</Pages>
  <Words>966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6175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</cp:lastModifiedBy>
  <cp:revision>22</cp:revision>
  <dcterms:created xsi:type="dcterms:W3CDTF">2013-05-02T02:48:00Z</dcterms:created>
  <dcterms:modified xsi:type="dcterms:W3CDTF">2013-09-02T01:43:00Z</dcterms:modified>
</cp:coreProperties>
</file>