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040B66" w:rsidRDefault="00BE55CB">
      <w:pPr>
        <w:pStyle w:val="Ttulo"/>
        <w:jc w:val="right"/>
        <w:rPr>
          <w:lang w:val="pt-BR"/>
        </w:rPr>
      </w:pPr>
      <w:fldSimple w:instr=" SUBJECT  \* MERGEFORMAT ">
        <w:r w:rsidR="00B94B07">
          <w:rPr>
            <w:lang w:val="pt-BR"/>
          </w:rPr>
          <w:t>&lt;Nome do Projeto&gt;</w:t>
        </w:r>
      </w:fldSimple>
    </w:p>
    <w:p w:rsidR="00BE55CB" w:rsidRPr="00040B66" w:rsidRDefault="00BE55CB">
      <w:pPr>
        <w:pStyle w:val="Ttulo"/>
        <w:jc w:val="right"/>
        <w:rPr>
          <w:lang w:val="pt-BR"/>
        </w:rPr>
      </w:pPr>
      <w:fldSimple w:instr="TITLE  \* MERGEFORMAT ">
        <w:r w:rsidR="00B94B07">
          <w:rPr>
            <w:lang w:val="pt-BR"/>
          </w:rPr>
          <w:t>Especificação de Caso de Uso: &lt;Nome do Caso de Uso&gt;</w:t>
        </w:r>
      </w:fldSimple>
    </w:p>
    <w:p w:rsidR="00BE55CB" w:rsidRPr="00040B66" w:rsidRDefault="00BE55CB">
      <w:pPr>
        <w:pStyle w:val="Ttulo"/>
        <w:jc w:val="right"/>
        <w:rPr>
          <w:lang w:val="pt-BR"/>
        </w:rPr>
      </w:pPr>
    </w:p>
    <w:p w:rsidR="00BE55CB" w:rsidRDefault="00BE55CB">
      <w:pPr>
        <w:pStyle w:val="Ttulo"/>
        <w:jc w:val="right"/>
        <w:rPr>
          <w:sz w:val="28"/>
          <w:szCs w:val="28"/>
        </w:rPr>
      </w:pPr>
      <w:r>
        <w:rPr>
          <w:sz w:val="28"/>
          <w:szCs w:val="28"/>
          <w:lang w:val="pt-BR"/>
        </w:rPr>
        <w:t>Versão &lt;1.0&gt;</w:t>
      </w:r>
    </w:p>
    <w:p w:rsidR="00BE55CB" w:rsidRDefault="00BE55CB"/>
    <w:p w:rsidR="00BE55CB" w:rsidRDefault="00BE55CB">
      <w:pPr>
        <w:pStyle w:val="InfoBlue"/>
      </w:pPr>
      <w:r>
        <w:rPr>
          <w:lang w:val="pt-BR"/>
        </w:rPr>
        <w:t>[Observação:</w:t>
      </w:r>
      <w:r w:rsidRPr="00040B66">
        <w:rPr>
          <w:lang w:val="pt-BR"/>
        </w:rPr>
        <w:t xml:space="preserve"> </w:t>
      </w:r>
      <w:r>
        <w:rPr>
          <w:lang w:val="pt-BR"/>
        </w:rPr>
        <w:t xml:space="preserve">O template a seguir é fornecido </w:t>
      </w:r>
      <w:r w:rsidR="00040B66">
        <w:rPr>
          <w:lang w:val="pt-BR"/>
        </w:rPr>
        <w:t xml:space="preserve">para uso com o </w:t>
      </w:r>
      <w:r>
        <w:rPr>
          <w:lang w:val="pt-BR"/>
        </w:rPr>
        <w:t>Proces</w:t>
      </w:r>
      <w:r w:rsidR="00040B66">
        <w:rPr>
          <w:lang w:val="pt-BR"/>
        </w:rPr>
        <w:t>so de Processos Logiciel</w:t>
      </w:r>
      <w:r>
        <w:rPr>
          <w:lang w:val="pt-BR"/>
        </w:rPr>
        <w:t>.</w:t>
      </w:r>
      <w:r w:rsidRPr="00040B66">
        <w:rPr>
          <w:lang w:val="pt-BR"/>
        </w:rPr>
        <w:t xml:space="preserve"> </w:t>
      </w:r>
      <w:r>
        <w:rPr>
          <w:lang w:val="pt-BR"/>
        </w:rPr>
        <w:t>O texto em azul exibido entre colchetes e em itálico (style=InfoBlue) foi incluído para orientar o autor e deve ser excluído antes da publicação do documento.</w:t>
      </w:r>
      <w:r>
        <w:t xml:space="preserve"> </w:t>
      </w:r>
      <w:r>
        <w:rPr>
          <w:lang w:val="pt-BR"/>
        </w:rPr>
        <w:t>Qualquer parágrafo inserido após esse estilo será definido automaticamente como normal (style=Body Text).]</w:t>
      </w:r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>[Para personalizar campos automáticos no Microsoft Word (que exibem um plano de fundo cinza quando selecionados), selecione File&gt;Properties e substitua o conteúdo dos campos Title, Subject e Company pelas informações adequadas a esse documento.</w:t>
      </w:r>
      <w:r>
        <w:t xml:space="preserve"> </w:t>
      </w:r>
      <w:r>
        <w:rPr>
          <w:lang w:val="pt-BR"/>
        </w:rPr>
        <w:t>Depois de fechar a caixa de diálogo, para atualizar os campos automáticos no documento inteiro, selecione Edit&gt;Select All (ou Ctrl-A) e pressione F9 ou simplesmente clique no campo e pressione F9.</w:t>
      </w:r>
      <w:r>
        <w:t xml:space="preserve"> </w:t>
      </w:r>
      <w:r>
        <w:rPr>
          <w:lang w:val="pt-BR"/>
        </w:rPr>
        <w:t>Isso deve ser feito separadamente para Cabeçalhos e Rodapés.</w:t>
      </w:r>
      <w:r>
        <w:rPr>
          <w:lang w:val="fr-FR"/>
        </w:rPr>
        <w:t xml:space="preserve"> </w:t>
      </w:r>
      <w:r>
        <w:rPr>
          <w:lang w:val="pt-BR"/>
        </w:rPr>
        <w:t>Alt-F9 alterna entre a exibição de nomes de campos e a do conteúdo de campos.</w:t>
      </w:r>
      <w:r>
        <w:rPr>
          <w:lang w:val="fr-FR"/>
        </w:rPr>
        <w:t xml:space="preserve"> </w:t>
      </w:r>
      <w:r>
        <w:rPr>
          <w:lang w:val="pt-BR"/>
        </w:rPr>
        <w:t>Consulte a ajuda do Word para obter mais informações sobre como trabalhar com campos.]</w:t>
      </w:r>
      <w:r>
        <w:rPr>
          <w:lang w:val="fr-FR"/>
        </w:rPr>
        <w:t xml:space="preserve"> </w:t>
      </w:r>
    </w:p>
    <w:p w:rsidR="00BE55CB" w:rsidRDefault="00BE55CB">
      <w:pPr>
        <w:rPr>
          <w:lang w:val="fr-FR"/>
        </w:rPr>
      </w:pPr>
    </w:p>
    <w:p w:rsidR="00BE55CB" w:rsidRDefault="00BE55CB">
      <w:pPr>
        <w:pStyle w:val="Corpodetexto"/>
        <w:rPr>
          <w:lang w:val="fr-FR"/>
        </w:rPr>
      </w:pPr>
    </w:p>
    <w:p w:rsidR="00BE55CB" w:rsidRDefault="00BE55CB">
      <w:pPr>
        <w:pStyle w:val="Corpodetexto"/>
        <w:rPr>
          <w:lang w:val="fr-FR"/>
        </w:rPr>
      </w:pPr>
    </w:p>
    <w:p w:rsidR="00BE55CB" w:rsidRDefault="00BE55CB">
      <w:pPr>
        <w:rPr>
          <w:lang w:val="fr-FR"/>
        </w:rPr>
        <w:sectPr w:rsidR="00BE55C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lang w:val="fr-F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BE55CB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rPr>
                <w:lang w:val="fr-F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  <w:rPr>
                <w:lang w:val="fr-F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  <w:r>
              <w:rPr>
                <w:lang w:val="pt-BR"/>
              </w:rPr>
              <w:t>&lt;nome&gt;</w:t>
            </w:r>
          </w:p>
        </w:tc>
      </w:tr>
      <w:tr w:rsidR="00BE55CB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</w:tr>
      <w:tr w:rsidR="00BE55CB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</w:tr>
      <w:tr w:rsidR="00BE55CB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Default="00BE55CB">
            <w:pPr>
              <w:pStyle w:val="Tabletext"/>
            </w:pPr>
          </w:p>
        </w:tc>
      </w:tr>
    </w:tbl>
    <w:p w:rsidR="00BE55CB" w:rsidRDefault="00BE55CB"/>
    <w:p w:rsidR="00BE55CB" w:rsidRDefault="00BE55CB">
      <w:pPr>
        <w:pStyle w:val="Ttulo"/>
      </w:pPr>
      <w:r>
        <w:br w:type="page"/>
      </w:r>
      <w:r>
        <w:rPr>
          <w:lang w:val="pt-BR"/>
        </w:rPr>
        <w:lastRenderedPageBreak/>
        <w:t>Índice Analítico</w:t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lang w:val="pt-BR"/>
        </w:rPr>
        <w:t>1.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Nome do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_Toc18208175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Breve Descrição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_Toc18208176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Fluxo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_Toc18208177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Fluxo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_Toc18208178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Fluxos Alternativos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_Toc18208179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3"/>
        <w:tabs>
          <w:tab w:val="left" w:pos="16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2.2.1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 Primeiro Fluxo Alternativo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_Toc18208180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3"/>
        <w:tabs>
          <w:tab w:val="left" w:pos="16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2.2.2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 Segundo Fluxo Alternativo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_Toc18208181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sz w:val="24"/>
          <w:lang w:val="pt-BR"/>
        </w:rPr>
        <w:t>3.</w:t>
      </w:r>
      <w:r>
        <w:rPr>
          <w:noProof/>
          <w:snapToGrid/>
          <w:sz w:val="24"/>
          <w:szCs w:val="24"/>
        </w:rPr>
        <w:tab/>
      </w:r>
      <w:r>
        <w:rPr>
          <w:noProof/>
          <w:sz w:val="24"/>
          <w:lang w:val="pt-BR"/>
        </w:rPr>
        <w:t>Requisitos Especiais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_Toc18208182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 Primeiro Requisito Especial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_Toc18208183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sz w:val="24"/>
          <w:lang w:val="pt-BR"/>
        </w:rPr>
        <w:t>4.</w:t>
      </w:r>
      <w:r>
        <w:rPr>
          <w:noProof/>
          <w:snapToGrid/>
          <w:sz w:val="24"/>
          <w:szCs w:val="24"/>
        </w:rPr>
        <w:tab/>
      </w:r>
      <w:r>
        <w:rPr>
          <w:noProof/>
          <w:sz w:val="24"/>
          <w:lang w:val="pt-BR"/>
        </w:rPr>
        <w:t>Precondições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_Toc18208184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4.1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 Precondição Um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_Toc18208185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sz w:val="24"/>
          <w:lang w:val="pt-BR"/>
        </w:rPr>
        <w:t>5.</w:t>
      </w:r>
      <w:r>
        <w:rPr>
          <w:noProof/>
          <w:snapToGrid/>
          <w:sz w:val="24"/>
          <w:szCs w:val="24"/>
        </w:rPr>
        <w:tab/>
      </w:r>
      <w:r>
        <w:rPr>
          <w:noProof/>
          <w:sz w:val="24"/>
          <w:lang w:val="pt-BR"/>
        </w:rPr>
        <w:t>Pós-condições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_Toc18208186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5.1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 Pós-condição Um 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_Toc18208187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sz w:val="24"/>
          <w:lang w:val="pt-BR"/>
        </w:rPr>
        <w:t>6.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sz w:val="24"/>
          <w:lang w:val="pt-BR"/>
        </w:rPr>
        <w:t>Pontos de Extensão</w:t>
      </w:r>
      <w:r>
        <w:rPr>
          <w:noProof/>
          <w:lang w:val="fr-FR"/>
        </w:rPr>
        <w:tab/>
      </w:r>
      <w:r>
        <w:rPr>
          <w:noProof/>
        </w:rPr>
        <w:fldChar w:fldCharType="begin"/>
      </w:r>
      <w:r>
        <w:rPr>
          <w:noProof/>
          <w:lang w:val="fr-FR"/>
        </w:rPr>
        <w:instrText xml:space="preserve"> PAGEREF _Toc18208188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  <w:lang w:val="fr-FR"/>
        </w:rPr>
        <w:t>3</w:t>
      </w:r>
      <w:r>
        <w:rPr>
          <w:noProof/>
        </w:rPr>
        <w:fldChar w:fldCharType="end"/>
      </w:r>
    </w:p>
    <w:p w:rsidR="00BE55CB" w:rsidRDefault="00BE55CB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6.1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&lt;Nome do Ponto de Extensão&gt;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_Toc18208189 \h </w:instrText>
      </w:r>
      <w:r>
        <w:rPr>
          <w:noProof/>
        </w:rPr>
      </w:r>
      <w:r>
        <w:rPr>
          <w:noProof/>
        </w:rPr>
        <w:fldChar w:fldCharType="separate"/>
      </w:r>
      <w:r w:rsidR="00B94B07">
        <w:rPr>
          <w:noProof/>
        </w:rPr>
        <w:t>3</w:t>
      </w:r>
      <w:r>
        <w:rPr>
          <w:noProof/>
        </w:rPr>
        <w:fldChar w:fldCharType="end"/>
      </w:r>
    </w:p>
    <w:p w:rsidR="00BE55CB" w:rsidRPr="00040B66" w:rsidRDefault="00BE55CB">
      <w:pPr>
        <w:pStyle w:val="Ttulo"/>
        <w:rPr>
          <w:lang w:val="pt-BR"/>
        </w:rPr>
      </w:pPr>
      <w:r>
        <w:fldChar w:fldCharType="end"/>
      </w:r>
      <w:r w:rsidRPr="00040B66">
        <w:rPr>
          <w:lang w:val="pt-BR"/>
        </w:rPr>
        <w:br w:type="page"/>
      </w:r>
      <w:fldSimple w:instr="TITLE  \* MERGEFORMAT ">
        <w:r w:rsidR="00B94B07">
          <w:rPr>
            <w:lang w:val="pt-BR"/>
          </w:rPr>
          <w:t>Especificação de Caso de Uso: &lt;Nome do Caso de Uso&gt;</w:t>
        </w:r>
      </w:fldSimple>
      <w:bookmarkStart w:id="0" w:name="_Toc425054503"/>
      <w:bookmarkStart w:id="1" w:name="_Toc423410237"/>
      <w:r w:rsidRPr="00040B66">
        <w:rPr>
          <w:lang w:val="pt-BR"/>
        </w:rPr>
        <w:t xml:space="preserve"> </w:t>
      </w:r>
      <w:bookmarkEnd w:id="0"/>
      <w:bookmarkEnd w:id="1"/>
    </w:p>
    <w:p w:rsidR="00BE55CB" w:rsidRPr="00040B66" w:rsidRDefault="00BE55CB">
      <w:pPr>
        <w:pStyle w:val="InfoBlue"/>
        <w:rPr>
          <w:lang w:val="pt-BR"/>
        </w:rPr>
      </w:pPr>
    </w:p>
    <w:p w:rsidR="00BE55CB" w:rsidRPr="00040B66" w:rsidRDefault="00BE55CB">
      <w:pPr>
        <w:pStyle w:val="InfoBlue"/>
        <w:rPr>
          <w:lang w:val="pt-BR"/>
        </w:rPr>
      </w:pPr>
      <w:r>
        <w:rPr>
          <w:lang w:val="pt-BR"/>
        </w:rPr>
        <w:t>[O template a seguir é fornecido para uma Especificação de Caso de Uso, que contém as propriedades textuais do caso de uso.</w:t>
      </w:r>
      <w:r>
        <w:t xml:space="preserve"> </w:t>
      </w:r>
      <w:r>
        <w:rPr>
          <w:lang w:val="pt-BR"/>
        </w:rPr>
        <w:t>Este documento é usado com uma ferramenta de gerenciamento de requisito</w:t>
      </w:r>
      <w:r w:rsidR="00040B66">
        <w:rPr>
          <w:lang w:val="pt-BR"/>
        </w:rPr>
        <w:t xml:space="preserve">s </w:t>
      </w:r>
      <w:r>
        <w:rPr>
          <w:lang w:val="pt-BR"/>
        </w:rPr>
        <w:t xml:space="preserve"> para especificar e marcar os requisitos contidos nas propriedades do caso de uso.]</w:t>
      </w:r>
    </w:p>
    <w:p w:rsidR="00BE55CB" w:rsidRDefault="00BE55CB">
      <w:pPr>
        <w:pStyle w:val="Ttulo1"/>
        <w:ind w:left="1080" w:hanging="360"/>
      </w:pPr>
      <w:bookmarkStart w:id="2" w:name="_Toc425054504"/>
      <w:bookmarkStart w:id="3" w:name="_Toc423410238"/>
      <w:bookmarkStart w:id="4" w:name="_Toc18208175"/>
      <w:r>
        <w:rPr>
          <w:lang w:val="pt-BR"/>
        </w:rPr>
        <w:t>Nome do Caso de Uso</w:t>
      </w:r>
      <w:bookmarkEnd w:id="4"/>
      <w:r>
        <w:t xml:space="preserve"> </w:t>
      </w:r>
    </w:p>
    <w:p w:rsidR="00BE55CB" w:rsidRDefault="00BE55CB">
      <w:pPr>
        <w:pStyle w:val="Ttulo2"/>
      </w:pPr>
      <w:bookmarkStart w:id="5" w:name="_Toc18208176"/>
      <w:r>
        <w:rPr>
          <w:lang w:val="pt-BR"/>
        </w:rPr>
        <w:t>Breve Descrição</w:t>
      </w:r>
      <w:bookmarkEnd w:id="2"/>
      <w:bookmarkEnd w:id="3"/>
      <w:bookmarkEnd w:id="5"/>
    </w:p>
    <w:p w:rsidR="00BE55CB" w:rsidRDefault="00BE55CB">
      <w:pPr>
        <w:pStyle w:val="InfoBlue"/>
      </w:pPr>
      <w:r>
        <w:rPr>
          <w:lang w:val="pt-BR"/>
        </w:rPr>
        <w:t>[A descrição relata brevemente o papel e a finalidade do caso de uso.</w:t>
      </w:r>
      <w:r>
        <w:t xml:space="preserve"> </w:t>
      </w:r>
      <w:r>
        <w:rPr>
          <w:lang w:val="pt-BR"/>
        </w:rPr>
        <w:t>Um único parágrafo será suficiente para essa descrição.]</w:t>
      </w:r>
    </w:p>
    <w:p w:rsidR="00BE55CB" w:rsidRDefault="00BE55CB">
      <w:pPr>
        <w:pStyle w:val="Ttulo1"/>
        <w:widowControl/>
        <w:ind w:left="1080" w:hanging="360"/>
        <w:rPr>
          <w:lang w:val="fr-FR"/>
        </w:rPr>
      </w:pPr>
      <w:bookmarkStart w:id="6" w:name="_Toc425054505"/>
      <w:bookmarkStart w:id="7" w:name="_Toc423410239"/>
      <w:bookmarkStart w:id="8" w:name="_Toc18208177"/>
      <w:r>
        <w:rPr>
          <w:lang w:val="pt-BR"/>
        </w:rPr>
        <w:t>Fluxo de Eventos</w:t>
      </w:r>
      <w:bookmarkEnd w:id="6"/>
      <w:bookmarkEnd w:id="7"/>
      <w:bookmarkEnd w:id="8"/>
    </w:p>
    <w:p w:rsidR="00BE55CB" w:rsidRDefault="00BE55CB">
      <w:pPr>
        <w:pStyle w:val="Ttulo2"/>
        <w:widowControl/>
        <w:rPr>
          <w:lang w:val="fr-FR"/>
        </w:rPr>
      </w:pPr>
      <w:bookmarkStart w:id="9" w:name="_Toc425054506"/>
      <w:bookmarkStart w:id="10" w:name="_Toc423410240"/>
      <w:bookmarkStart w:id="11" w:name="_Toc18208178"/>
      <w:r>
        <w:rPr>
          <w:lang w:val="pt-BR"/>
        </w:rPr>
        <w:t>Fluxo Básico</w:t>
      </w:r>
      <w:bookmarkEnd w:id="9"/>
      <w:bookmarkEnd w:id="10"/>
      <w:bookmarkEnd w:id="11"/>
      <w:r>
        <w:rPr>
          <w:lang w:val="fr-FR"/>
        </w:rPr>
        <w:t xml:space="preserve"> </w:t>
      </w:r>
    </w:p>
    <w:p w:rsidR="00BE55CB" w:rsidRDefault="00BE55CB">
      <w:pPr>
        <w:pStyle w:val="InfoBlue"/>
      </w:pPr>
      <w:r>
        <w:rPr>
          <w:lang w:val="pt-BR"/>
        </w:rPr>
        <w:t>[Este caso de uso é iniciado quando o ator pratica alguma ação.</w:t>
      </w:r>
      <w:r>
        <w:t xml:space="preserve"> </w:t>
      </w:r>
      <w:r>
        <w:rPr>
          <w:lang w:val="pt-BR"/>
        </w:rPr>
        <w:t>Os casos de uso sempre são iniciados por atores.</w:t>
      </w:r>
      <w:r>
        <w:t xml:space="preserve"> </w:t>
      </w:r>
      <w:r>
        <w:rPr>
          <w:lang w:val="pt-BR"/>
        </w:rPr>
        <w:t>O caso de uso descreve o que o ator faz e o que o sistema faz em resposta.</w:t>
      </w:r>
      <w:r>
        <w:t xml:space="preserve"> </w:t>
      </w:r>
      <w:r>
        <w:rPr>
          <w:lang w:val="pt-BR"/>
        </w:rPr>
        <w:t>Ele deve ser elaborado como um diálogo entre o ator e o sistema.</w:t>
      </w:r>
    </w:p>
    <w:p w:rsidR="00BE55CB" w:rsidRDefault="00BE55CB">
      <w:pPr>
        <w:pStyle w:val="InfoBlue"/>
      </w:pPr>
      <w:r>
        <w:rPr>
          <w:lang w:val="pt-BR"/>
        </w:rPr>
        <w:t>O caso de uso descreve o que ocorre no sistema, mas não como ou por quê.</w:t>
      </w:r>
      <w:r>
        <w:t xml:space="preserve"> </w:t>
      </w:r>
      <w:r>
        <w:rPr>
          <w:lang w:val="pt-BR"/>
        </w:rPr>
        <w:t>Se forem trocadas informações, seja específico no que diz respeito ao conteúdo que é passado e retornado.</w:t>
      </w:r>
      <w:r>
        <w:t xml:space="preserve"> </w:t>
      </w:r>
      <w:r>
        <w:rPr>
          <w:lang w:val="pt-BR"/>
        </w:rPr>
        <w:t>Por exemplo, não é muito esclarecedor dizer que o ator fornece informações do cliente.</w:t>
      </w:r>
      <w:r>
        <w:t xml:space="preserve"> </w:t>
      </w:r>
      <w:r>
        <w:rPr>
          <w:lang w:val="pt-BR"/>
        </w:rPr>
        <w:t>É melhor dizer que ele fornece o nome e o endereço do cliente.</w:t>
      </w:r>
      <w:r>
        <w:t xml:space="preserve"> </w:t>
      </w:r>
      <w:r>
        <w:rPr>
          <w:lang w:val="pt-BR"/>
        </w:rPr>
        <w:t>É útil fazer uso de um Glossário de Termos para manter a complexidade do caso de uso sob controle — poderá ser conveniente definir termos como, por exemplo, informações do cliente neste glossário, a fim de evitar que o caso de uso fique repleto de detalhes</w:t>
      </w:r>
      <w:r>
        <w:rPr>
          <w:rFonts w:ascii="Arial" w:hAnsi="Arial"/>
          <w:lang w:val="pt-BR"/>
        </w:rPr>
        <w:t>.</w:t>
      </w:r>
      <w:r>
        <w:t xml:space="preserve"> </w:t>
      </w:r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>As alternativas simples poderão ser apresentadas no texto do caso de uso.</w:t>
      </w:r>
      <w:r>
        <w:t xml:space="preserve"> </w:t>
      </w:r>
      <w:r>
        <w:rPr>
          <w:lang w:val="pt-BR"/>
        </w:rPr>
        <w:t xml:space="preserve">Se forem necessárias apenas algumas frases para descrever o que acontece quando há uma alternativa, faça essa descrição diretamente na seção </w:t>
      </w:r>
      <w:r>
        <w:rPr>
          <w:b/>
          <w:bCs/>
          <w:lang w:val="pt-BR"/>
        </w:rPr>
        <w:t>Fluxo de Eventos</w:t>
      </w:r>
      <w:r>
        <w:rPr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>Se o fluxo alternativo for mais complexo, use uma seção separada para descrevê-lo</w:t>
      </w:r>
      <w:r>
        <w:rPr>
          <w:rFonts w:ascii="Arial" w:hAnsi="Arial"/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 xml:space="preserve">Por exemplo, uma subseção </w:t>
      </w:r>
      <w:r>
        <w:rPr>
          <w:b/>
          <w:bCs/>
          <w:lang w:val="pt-BR"/>
        </w:rPr>
        <w:t>Fluxo Alternativo</w:t>
      </w:r>
      <w:r>
        <w:rPr>
          <w:lang w:val="pt-BR"/>
        </w:rPr>
        <w:t xml:space="preserve"> explica como descrever alternativas mais complexas.</w:t>
      </w:r>
      <w:r>
        <w:rPr>
          <w:lang w:val="fr-FR"/>
        </w:rPr>
        <w:t xml:space="preserve"> </w:t>
      </w:r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>Às vezes, uma figura vale por mil palavras, embora não haja nada que possa substituir uma redação clara e organizada.</w:t>
      </w:r>
      <w:r>
        <w:rPr>
          <w:lang w:val="fr-FR"/>
        </w:rPr>
        <w:t xml:space="preserve"> </w:t>
      </w:r>
      <w:r>
        <w:rPr>
          <w:lang w:val="pt-BR"/>
        </w:rPr>
        <w:t>Se for mais esclarecedor, sinta-se à vontade para colar representações gráficas de interfaces do usuário, fluxos de processo ou outras imagens no caso de uso</w:t>
      </w:r>
      <w:r>
        <w:rPr>
          <w:rFonts w:ascii="Arial" w:hAnsi="Arial"/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>Se um fluxograma for útil para apresentar um processo complexo de decisões, utilize-o sem dúvida nenhuma!</w:t>
      </w:r>
      <w:r>
        <w:rPr>
          <w:lang w:val="fr-FR"/>
        </w:rPr>
        <w:t xml:space="preserve">  </w:t>
      </w:r>
      <w:r>
        <w:rPr>
          <w:lang w:val="pt-BR"/>
        </w:rPr>
        <w:t>Assim como no caso de comportamentos dependentes de estado, um diagrama de transição de estado geralmente esclarece o comportamento de um sistema muito mais do que páginas e páginas de texto.</w:t>
      </w:r>
      <w:r>
        <w:rPr>
          <w:lang w:val="fr-FR"/>
        </w:rPr>
        <w:t xml:space="preserve"> </w:t>
      </w:r>
      <w:r>
        <w:rPr>
          <w:lang w:val="pt-BR"/>
        </w:rPr>
        <w:t>Use o meio de apresentação certo para o problema, mas procure evitar o uso de terminologia, notações ou imagens que o público possa não entender.</w:t>
      </w:r>
      <w:r>
        <w:rPr>
          <w:lang w:val="fr-FR"/>
        </w:rPr>
        <w:t xml:space="preserve"> </w:t>
      </w:r>
      <w:r>
        <w:rPr>
          <w:lang w:val="pt-BR"/>
        </w:rPr>
        <w:t>Lembre-se de que sua finalidade é esclarecer e não obscurecer.]</w:t>
      </w:r>
    </w:p>
    <w:p w:rsidR="00BE55CB" w:rsidRDefault="00BE55CB">
      <w:pPr>
        <w:pStyle w:val="Ttulo2"/>
        <w:widowControl/>
        <w:rPr>
          <w:lang w:val="fr-FR"/>
        </w:rPr>
      </w:pPr>
      <w:bookmarkStart w:id="12" w:name="_Toc425054507"/>
      <w:bookmarkStart w:id="13" w:name="_Toc423410241"/>
      <w:bookmarkStart w:id="14" w:name="_Toc18208179"/>
      <w:r>
        <w:rPr>
          <w:lang w:val="pt-BR"/>
        </w:rPr>
        <w:t>Fluxos Alternativos</w:t>
      </w:r>
      <w:bookmarkEnd w:id="12"/>
      <w:bookmarkEnd w:id="13"/>
      <w:bookmarkEnd w:id="14"/>
    </w:p>
    <w:p w:rsidR="00BE55CB" w:rsidRDefault="00BE55CB">
      <w:pPr>
        <w:pStyle w:val="Ttulo3"/>
        <w:widowControl/>
        <w:rPr>
          <w:lang w:val="fr-FR"/>
        </w:rPr>
      </w:pPr>
      <w:bookmarkStart w:id="15" w:name="_Toc425054508"/>
      <w:bookmarkStart w:id="16" w:name="_Toc423410242"/>
      <w:bookmarkStart w:id="17" w:name="_Toc18208180"/>
      <w:r>
        <w:rPr>
          <w:lang w:val="pt-BR"/>
        </w:rPr>
        <w:t>&lt; Primeiro Fluxo Alternativo &gt;</w:t>
      </w:r>
      <w:bookmarkEnd w:id="15"/>
      <w:bookmarkEnd w:id="16"/>
      <w:bookmarkEnd w:id="17"/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 xml:space="preserve">[As alternativas mais complexas são descritas em uma seção separada, mencionada na subseção </w:t>
      </w:r>
      <w:r>
        <w:rPr>
          <w:b/>
          <w:bCs/>
          <w:lang w:val="pt-BR"/>
        </w:rPr>
        <w:t>Fluxo Básico</w:t>
      </w:r>
      <w:r>
        <w:rPr>
          <w:lang w:val="pt-BR"/>
        </w:rPr>
        <w:t xml:space="preserve"> da seção </w:t>
      </w:r>
      <w:r>
        <w:rPr>
          <w:b/>
          <w:bCs/>
          <w:lang w:val="pt-BR"/>
        </w:rPr>
        <w:t>Fluxo de Eventos</w:t>
      </w:r>
      <w:r>
        <w:rPr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 xml:space="preserve">Pense nas subseções </w:t>
      </w:r>
      <w:r>
        <w:rPr>
          <w:b/>
          <w:bCs/>
          <w:lang w:val="pt-BR"/>
        </w:rPr>
        <w:t>Fluxo Alternativo</w:t>
      </w:r>
      <w:r>
        <w:rPr>
          <w:lang w:val="pt-BR"/>
        </w:rPr>
        <w:t xml:space="preserve"> como comportamentos alternativos — cada fluxo alternativo representa um comportamento alternativo geralmente devido a exceções que ocorrem no fluxo principal</w:t>
      </w:r>
      <w:r>
        <w:rPr>
          <w:rFonts w:ascii="Arial" w:hAnsi="Arial"/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>O tamanho desses fluxos poderá ser tão extenso quanto o necessário para descrever os eventos associados ao comportamento alternativo.</w:t>
      </w:r>
      <w:r>
        <w:rPr>
          <w:lang w:val="fr-FR"/>
        </w:rPr>
        <w:t xml:space="preserve"> </w:t>
      </w:r>
      <w:r>
        <w:rPr>
          <w:lang w:val="pt-BR"/>
        </w:rPr>
        <w:t>Quando um fluxo alternativo termina, os eventos do principal fluxo de eventos são retomados, a menos que seja especificado algo em contrário.]</w:t>
      </w:r>
    </w:p>
    <w:p w:rsidR="00BE55CB" w:rsidRDefault="00BE55CB">
      <w:pPr>
        <w:pStyle w:val="Ttulo4"/>
        <w:widowControl/>
      </w:pPr>
      <w:r>
        <w:rPr>
          <w:lang w:val="pt-BR"/>
        </w:rPr>
        <w:lastRenderedPageBreak/>
        <w:t>&lt; Um Subfluxo Alternativo &gt;</w:t>
      </w:r>
    </w:p>
    <w:p w:rsidR="00BE55CB" w:rsidRDefault="00BE55CB">
      <w:pPr>
        <w:pStyle w:val="InfoBlue"/>
      </w:pPr>
      <w:r>
        <w:rPr>
          <w:lang w:val="pt-BR"/>
        </w:rPr>
        <w:t>[Os fluxos alternativos, por sua vez, podem ser divididos em subseções, se isso contribuir para maior clareza.]</w:t>
      </w:r>
    </w:p>
    <w:p w:rsidR="00BE55CB" w:rsidRDefault="00BE55CB">
      <w:pPr>
        <w:pStyle w:val="Ttulo3"/>
        <w:widowControl/>
      </w:pPr>
      <w:bookmarkStart w:id="18" w:name="_Toc425054509"/>
      <w:bookmarkStart w:id="19" w:name="_Toc423410243"/>
      <w:bookmarkStart w:id="20" w:name="_Toc18208181"/>
      <w:r>
        <w:rPr>
          <w:lang w:val="pt-BR"/>
        </w:rPr>
        <w:t>&lt; Segundo Fluxo Alternativo &gt;</w:t>
      </w:r>
      <w:bookmarkEnd w:id="18"/>
      <w:bookmarkEnd w:id="19"/>
      <w:bookmarkEnd w:id="20"/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>[Pode haver, e muito provavelmente haverá, uma série de fluxos alternativos em um caso de uso.</w:t>
      </w:r>
      <w:r>
        <w:t xml:space="preserve"> </w:t>
      </w:r>
      <w:r>
        <w:rPr>
          <w:lang w:val="pt-BR"/>
        </w:rPr>
        <w:t>Mantenha cada fluxo alternativo separado para aumentar a clareza.</w:t>
      </w:r>
      <w:r>
        <w:t xml:space="preserve"> </w:t>
      </w:r>
      <w:r>
        <w:rPr>
          <w:lang w:val="pt-BR"/>
        </w:rPr>
        <w:t>O uso de fluxos alternativos melhora a legibilidade do caso de uso e evita que os casos de uso sejam decompostos em hierarquias de casos de uso</w:t>
      </w:r>
      <w:r>
        <w:rPr>
          <w:rFonts w:ascii="Arial" w:hAnsi="Arial"/>
          <w:lang w:val="pt-BR"/>
        </w:rPr>
        <w:t>.</w:t>
      </w:r>
      <w:r>
        <w:t xml:space="preserve"> </w:t>
      </w:r>
      <w:r>
        <w:rPr>
          <w:lang w:val="pt-BR"/>
        </w:rPr>
        <w:t>Lembre-se de que os casos de uso são apenas descrições textuais e que sua finalidade principal é documentar o comportamento de um sistema de maneira clara, concisa e compreensível.]</w:t>
      </w:r>
    </w:p>
    <w:p w:rsidR="00BE55CB" w:rsidRDefault="00BE55CB">
      <w:pPr>
        <w:pStyle w:val="Ttulo1"/>
        <w:ind w:left="1080" w:hanging="360"/>
        <w:rPr>
          <w:sz w:val="24"/>
          <w:szCs w:val="24"/>
          <w:lang w:val="fr-FR"/>
        </w:rPr>
      </w:pPr>
      <w:bookmarkStart w:id="21" w:name="_Toc425054510"/>
      <w:bookmarkStart w:id="22" w:name="_Toc423410251"/>
      <w:bookmarkStart w:id="23" w:name="_Toc18208182"/>
      <w:r>
        <w:rPr>
          <w:sz w:val="24"/>
          <w:szCs w:val="24"/>
          <w:lang w:val="pt-BR"/>
        </w:rPr>
        <w:t>Requisitos Especiais</w:t>
      </w:r>
      <w:bookmarkEnd w:id="21"/>
      <w:bookmarkEnd w:id="22"/>
      <w:bookmarkEnd w:id="23"/>
    </w:p>
    <w:p w:rsidR="00BE55CB" w:rsidRDefault="00BE55CB">
      <w:pPr>
        <w:pStyle w:val="InfoBlue"/>
        <w:rPr>
          <w:lang w:val="fr-FR"/>
        </w:rPr>
      </w:pPr>
      <w:r>
        <w:rPr>
          <w:lang w:val="pt-BR"/>
        </w:rPr>
        <w:t>[Normalmente, um requisito especial é um requisito não-funcional específico de um caso de uso mas que não é especificado de maneira fácil ou natural no texto do fluxo de eventos do caso de uso.</w:t>
      </w:r>
      <w:r>
        <w:rPr>
          <w:lang w:val="fr-FR"/>
        </w:rPr>
        <w:t xml:space="preserve"> </w:t>
      </w:r>
      <w:r>
        <w:rPr>
          <w:lang w:val="pt-BR"/>
        </w:rPr>
        <w:t>Entre os exemplos de requisitos especiais estão incluídos requisitos legais e reguladores, padrões de aplicativos e atributos de qualidade do sistema a ser criado, incluindo requisitos de usabilidade, confiabilidade, desempenho ou suportabilidade.</w:t>
      </w:r>
      <w:r>
        <w:rPr>
          <w:lang w:val="fr-FR"/>
        </w:rPr>
        <w:t xml:space="preserve"> </w:t>
      </w:r>
      <w:r>
        <w:rPr>
          <w:lang w:val="pt-BR"/>
        </w:rPr>
        <w:t>Além disso, outros requisitos — como ambientes e sistemas operacionais, requisitos de compatibilidade e restrições de design — deverão ser capturados nesta seção.]</w:t>
      </w:r>
    </w:p>
    <w:p w:rsidR="00BE55CB" w:rsidRDefault="00BE55CB">
      <w:pPr>
        <w:pStyle w:val="Ttulo2"/>
        <w:widowControl/>
      </w:pPr>
      <w:bookmarkStart w:id="24" w:name="_Toc425054511"/>
      <w:bookmarkStart w:id="25" w:name="_Toc423410252"/>
      <w:bookmarkStart w:id="26" w:name="_Toc18208183"/>
      <w:r>
        <w:rPr>
          <w:lang w:val="pt-BR"/>
        </w:rPr>
        <w:t>&lt; Primeiro Requisito Especial &gt;</w:t>
      </w:r>
      <w:bookmarkEnd w:id="24"/>
      <w:bookmarkEnd w:id="25"/>
      <w:bookmarkEnd w:id="26"/>
    </w:p>
    <w:p w:rsidR="00BE55CB" w:rsidRDefault="00BE55CB"/>
    <w:p w:rsidR="00BE55CB" w:rsidRDefault="00BE55CB">
      <w:pPr>
        <w:pStyle w:val="Ttulo1"/>
        <w:widowControl/>
        <w:ind w:left="1080" w:hanging="360"/>
        <w:rPr>
          <w:sz w:val="24"/>
          <w:szCs w:val="24"/>
        </w:rPr>
      </w:pPr>
      <w:bookmarkStart w:id="27" w:name="_Toc425054512"/>
      <w:bookmarkStart w:id="28" w:name="_Toc423410253"/>
      <w:bookmarkStart w:id="29" w:name="_Toc18208184"/>
      <w:r>
        <w:rPr>
          <w:sz w:val="24"/>
          <w:szCs w:val="24"/>
          <w:lang w:val="pt-BR"/>
        </w:rPr>
        <w:t>Precondições</w:t>
      </w:r>
      <w:bookmarkEnd w:id="27"/>
      <w:bookmarkEnd w:id="28"/>
      <w:bookmarkEnd w:id="29"/>
    </w:p>
    <w:p w:rsidR="00BE55CB" w:rsidRDefault="00BE55CB">
      <w:pPr>
        <w:pStyle w:val="InfoBlue"/>
      </w:pPr>
      <w:r>
        <w:rPr>
          <w:lang w:val="pt-BR"/>
        </w:rPr>
        <w:t>[Uma precondição de um caso de uso é o estado do sistema que deve estar presente antes de um caso de uso ser realizado.]</w:t>
      </w:r>
    </w:p>
    <w:p w:rsidR="00BE55CB" w:rsidRDefault="00BE55CB">
      <w:pPr>
        <w:pStyle w:val="Ttulo2"/>
        <w:widowControl/>
      </w:pPr>
      <w:bookmarkStart w:id="30" w:name="_Toc425054513"/>
      <w:bookmarkStart w:id="31" w:name="_Toc423410254"/>
      <w:bookmarkStart w:id="32" w:name="_Toc18208185"/>
      <w:r>
        <w:rPr>
          <w:lang w:val="pt-BR"/>
        </w:rPr>
        <w:t>&lt; Precondição Um &gt;</w:t>
      </w:r>
      <w:bookmarkEnd w:id="30"/>
      <w:bookmarkEnd w:id="31"/>
      <w:bookmarkEnd w:id="32"/>
    </w:p>
    <w:p w:rsidR="00BE55CB" w:rsidRDefault="00BE55CB">
      <w:pPr>
        <w:pStyle w:val="Ttulo1"/>
        <w:widowControl/>
        <w:ind w:left="1080" w:hanging="360"/>
        <w:rPr>
          <w:sz w:val="24"/>
          <w:szCs w:val="24"/>
        </w:rPr>
      </w:pPr>
      <w:bookmarkStart w:id="33" w:name="_Toc425054514"/>
      <w:bookmarkStart w:id="34" w:name="_Toc423410255"/>
      <w:bookmarkStart w:id="35" w:name="_Toc18208186"/>
      <w:r>
        <w:rPr>
          <w:sz w:val="24"/>
          <w:szCs w:val="24"/>
          <w:lang w:val="pt-BR"/>
        </w:rPr>
        <w:t>Pós-condições</w:t>
      </w:r>
      <w:bookmarkEnd w:id="33"/>
      <w:bookmarkEnd w:id="34"/>
      <w:bookmarkEnd w:id="35"/>
    </w:p>
    <w:p w:rsidR="00BE55CB" w:rsidRDefault="00BE55CB">
      <w:pPr>
        <w:pStyle w:val="InfoBlue"/>
      </w:pPr>
      <w:r>
        <w:rPr>
          <w:lang w:val="pt-BR"/>
        </w:rPr>
        <w:t>[Uma pós-condição de um caso de uso é uma lista dos possíveis estados em que o sistema poderá se encontrar imediatamente depois do término de um caso de uso.]</w:t>
      </w:r>
    </w:p>
    <w:p w:rsidR="00BE55CB" w:rsidRDefault="00BE55CB">
      <w:pPr>
        <w:pStyle w:val="Ttulo2"/>
        <w:widowControl/>
        <w:rPr>
          <w:lang w:val="fr-FR"/>
        </w:rPr>
      </w:pPr>
      <w:bookmarkStart w:id="36" w:name="_Toc425054515"/>
      <w:bookmarkStart w:id="37" w:name="_Toc423410256"/>
      <w:bookmarkStart w:id="38" w:name="_Toc18208187"/>
      <w:r>
        <w:rPr>
          <w:lang w:val="pt-BR"/>
        </w:rPr>
        <w:t>&lt; Pós-condição Um &gt;</w:t>
      </w:r>
      <w:bookmarkEnd w:id="36"/>
      <w:bookmarkEnd w:id="37"/>
      <w:bookmarkEnd w:id="38"/>
    </w:p>
    <w:p w:rsidR="00BE55CB" w:rsidRDefault="00BE55CB">
      <w:pPr>
        <w:pStyle w:val="Ttulo1"/>
        <w:ind w:left="1080" w:hanging="360"/>
        <w:rPr>
          <w:sz w:val="24"/>
          <w:szCs w:val="24"/>
          <w:lang w:val="fr-FR"/>
        </w:rPr>
      </w:pPr>
      <w:bookmarkStart w:id="39" w:name="_Toc18208188"/>
      <w:r>
        <w:rPr>
          <w:sz w:val="24"/>
          <w:szCs w:val="24"/>
          <w:lang w:val="pt-BR"/>
        </w:rPr>
        <w:t>Pontos de Extensão</w:t>
      </w:r>
      <w:bookmarkEnd w:id="39"/>
    </w:p>
    <w:p w:rsidR="00BE55CB" w:rsidRDefault="00BE55CB">
      <w:pPr>
        <w:pStyle w:val="InfoBlue"/>
      </w:pPr>
      <w:r>
        <w:rPr>
          <w:lang w:val="pt-BR"/>
        </w:rPr>
        <w:t>[Pontos de extensão do caso de uso.]</w:t>
      </w:r>
    </w:p>
    <w:p w:rsidR="00BE55CB" w:rsidRDefault="00BE55CB">
      <w:pPr>
        <w:pStyle w:val="Ttulo2"/>
      </w:pPr>
      <w:bookmarkStart w:id="40" w:name="_Toc18208189"/>
      <w:r>
        <w:rPr>
          <w:lang w:val="pt-BR"/>
        </w:rPr>
        <w:t>&lt;Nome do Ponto de Extensão&gt;</w:t>
      </w:r>
      <w:bookmarkEnd w:id="40"/>
    </w:p>
    <w:p w:rsidR="00040B66" w:rsidRDefault="00BE55CB">
      <w:pPr>
        <w:pStyle w:val="InfoBlue"/>
      </w:pPr>
      <w:r>
        <w:rPr>
          <w:lang w:val="pt-BR"/>
        </w:rPr>
        <w:t>[Definição da localização do ponto de extensão no fluxo de eventos.]</w:t>
      </w:r>
    </w:p>
    <w:sectPr w:rsidR="00040B66">
      <w:headerReference w:type="default" r:id="rId13"/>
      <w:footerReference w:type="default" r:id="rId14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DAA" w:rsidRDefault="00595DAA" w:rsidP="00BE55CB">
      <w:pPr>
        <w:spacing w:line="240" w:lineRule="auto"/>
      </w:pPr>
      <w:r>
        <w:separator/>
      </w:r>
    </w:p>
  </w:endnote>
  <w:endnote w:type="continuationSeparator" w:id="1">
    <w:p w:rsidR="00595DAA" w:rsidRDefault="00595DAA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B07" w:rsidRDefault="00B94B07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B07" w:rsidRDefault="00B94B07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B07" w:rsidRDefault="00B94B07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BE55CB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55CB" w:rsidRDefault="00BE55CB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55CB" w:rsidRDefault="00040B66" w:rsidP="00040B66">
          <w:pPr>
            <w:jc w:val="center"/>
          </w:pPr>
          <w:r>
            <w:t xml:space="preserve">UFG – INF, </w:t>
          </w:r>
          <w:fldSimple w:instr=" DATE \@ &quot;yyyy&quot; ">
            <w:r w:rsidR="00B94B07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BE55CB" w:rsidRDefault="00BE55CB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>
            <w:rPr>
              <w:rStyle w:val="Nmerodepgina"/>
              <w:lang w:val="pt-BR"/>
            </w:rPr>
            <w:fldChar w:fldCharType="separate"/>
          </w:r>
          <w:r w:rsidR="00B94B07">
            <w:rPr>
              <w:rStyle w:val="Nmerodepgina"/>
              <w:noProof/>
              <w:lang w:val="pt-BR"/>
            </w:rPr>
            <w:t>2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BE55CB" w:rsidRDefault="00BE55C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DAA" w:rsidRDefault="00595DAA" w:rsidP="00BE55CB">
      <w:pPr>
        <w:spacing w:line="240" w:lineRule="auto"/>
      </w:pPr>
      <w:r>
        <w:separator/>
      </w:r>
    </w:p>
  </w:footnote>
  <w:footnote w:type="continuationSeparator" w:id="1">
    <w:p w:rsidR="00595DAA" w:rsidRDefault="00595DAA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B07" w:rsidRDefault="00B94B07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5CB" w:rsidRDefault="00B94B07" w:rsidP="00B94B07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3950" cy="790575"/>
          <wp:effectExtent l="19050" t="0" r="0" b="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-614680</wp:posOffset>
          </wp:positionH>
          <wp:positionV relativeFrom="paragraph">
            <wp:posOffset>-31750</wp:posOffset>
          </wp:positionV>
          <wp:extent cx="2414905" cy="819150"/>
          <wp:effectExtent l="19050" t="0" r="444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B07" w:rsidRDefault="00B94B07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BE55CB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55CB" w:rsidRDefault="00BE55CB">
          <w:pPr>
            <w:pStyle w:val="Cabealho"/>
            <w:tabs>
              <w:tab w:val="clear" w:pos="4320"/>
              <w:tab w:val="clear" w:pos="8640"/>
            </w:tabs>
          </w:pPr>
          <w:fldSimple w:instr="SUBJECT  \* MERGEFORMAT ">
            <w:r w:rsidR="00B94B07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55CB" w:rsidRDefault="00BE55CB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&lt;1.0&gt;</w:t>
          </w:r>
        </w:p>
      </w:tc>
    </w:tr>
    <w:tr w:rsidR="00BE55CB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55CB" w:rsidRPr="00040B66" w:rsidRDefault="00BE55CB">
          <w:pPr>
            <w:rPr>
              <w:lang w:val="pt-BR"/>
            </w:rPr>
          </w:pPr>
          <w:fldSimple w:instr="TITLE  \* MERGEFORMAT ">
            <w:r w:rsidR="00B94B07">
              <w:rPr>
                <w:lang w:val="pt-BR"/>
              </w:rPr>
              <w:t>Especificação de Caso de Uso: &lt;Nome do Caso de Uso&gt;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55CB" w:rsidRDefault="00BE55CB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 </w:t>
          </w:r>
          <w:r>
            <w:rPr>
              <w:lang w:val="pt-BR"/>
            </w:rPr>
            <w:t>&lt;dd/mmm/aa&gt;</w:t>
          </w:r>
        </w:p>
      </w:tc>
    </w:tr>
    <w:tr w:rsidR="00BE55CB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E55CB" w:rsidRDefault="00BE55CB">
          <w:r>
            <w:rPr>
              <w:lang w:val="pt-BR"/>
            </w:rPr>
            <w:t>&lt;identificador do documento&gt;</w:t>
          </w:r>
        </w:p>
      </w:tc>
    </w:tr>
  </w:tbl>
  <w:p w:rsidR="00BE55CB" w:rsidRDefault="00BE55C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19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18"/>
  </w:num>
  <w:num w:numId="10">
    <w:abstractNumId w:val="3"/>
  </w:num>
  <w:num w:numId="11">
    <w:abstractNumId w:val="10"/>
  </w:num>
  <w:num w:numId="12">
    <w:abstractNumId w:val="8"/>
  </w:num>
  <w:num w:numId="13">
    <w:abstractNumId w:val="17"/>
  </w:num>
  <w:num w:numId="14">
    <w:abstractNumId w:val="7"/>
  </w:num>
  <w:num w:numId="15">
    <w:abstractNumId w:val="4"/>
  </w:num>
  <w:num w:numId="16">
    <w:abstractNumId w:val="16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07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595DAA"/>
    <w:rsid w:val="00040B66"/>
    <w:rsid w:val="00595DAA"/>
    <w:rsid w:val="00B94B07"/>
    <w:rsid w:val="00BE5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erson\Dropbox\CONTPATRI%20-%20012013\PROJETO%20CONTPATRI\MARCO%201%2028-05\0.%20GERENCIAR\GRE\contpatri\TEMPLATE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</TotalTime>
  <Pages>1</Pages>
  <Words>1127</Words>
  <Characters>6086</Characters>
  <Application>Microsoft Office Word</Application>
  <DocSecurity>0</DocSecurity>
  <Lines>50</Lines>
  <Paragraphs>14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  <vt:variant>
        <vt:lpstr>Title</vt:lpstr>
      </vt:variant>
      <vt:variant>
        <vt:i4>1</vt:i4>
      </vt:variant>
    </vt:vector>
  </HeadingPairs>
  <TitlesOfParts>
    <vt:vector size="17" baseType="lpstr">
      <vt:lpstr>Especificação de Caso de Uso: &lt;Nome do Caso de Uso&gt;</vt:lpstr>
      <vt:lpstr>Nome do Caso de Uso </vt:lpstr>
      <vt:lpstr>    Breve Descrição</vt:lpstr>
      <vt:lpstr>Fluxo de Eventos</vt:lpstr>
      <vt:lpstr>    Fluxo Básico </vt:lpstr>
      <vt:lpstr>    Fluxos Alternativos</vt:lpstr>
      <vt:lpstr>        &lt; Primeiro Fluxo Alternativo &gt;</vt:lpstr>
      <vt:lpstr>        &lt; Segundo Fluxo Alternativo &gt;</vt:lpstr>
      <vt:lpstr>Requisitos Especiais</vt:lpstr>
      <vt:lpstr>    &lt; Primeiro Requisito Especial &gt;</vt:lpstr>
      <vt:lpstr>Precondições</vt:lpstr>
      <vt:lpstr>    &lt; Precondição Um &gt;</vt:lpstr>
      <vt:lpstr>Pós-condições</vt:lpstr>
      <vt:lpstr>    &lt; Pós-condição Um &gt;</vt:lpstr>
      <vt:lpstr>Pontos de Extensão</vt:lpstr>
      <vt:lpstr>    &lt;Nome do Ponto de Extensão&gt;</vt:lpstr>
      <vt:lpstr>Especificação de Caso de Uso: &lt;Nome do Caso de Uso&gt;</vt:lpstr>
    </vt:vector>
  </TitlesOfParts>
  <Company>&lt;Nome da Empresa&gt;</Company>
  <LinksUpToDate>false</LinksUpToDate>
  <CharactersWithSpaces>7199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</dc:creator>
  <cp:lastModifiedBy>Emerson</cp:lastModifiedBy>
  <cp:revision>2</cp:revision>
  <dcterms:created xsi:type="dcterms:W3CDTF">2013-04-15T16:28:00Z</dcterms:created>
  <dcterms:modified xsi:type="dcterms:W3CDTF">2013-04-15T16:30:00Z</dcterms:modified>
</cp:coreProperties>
</file>