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l2ineuywii67" w:colLast="0"/>
      <w:bookmarkEnd w:id="0"/>
      <w:r w:rsidRPr="00000000" w:rsidR="00000000" w:rsidDel="00000000">
        <w:rPr>
          <w:rtl w:val="0"/>
        </w:rPr>
        <w:t xml:space="preserve">Ulysses - Relatório 23/08/2013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Conversei com o Wemerson, que foi um dos responsáveis pelo projeto da Arquitetura do sistema ContPatri, e encontrei que atualmente as principais questões relacionadas com a arquitetura (e outras partes do sistema) são: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1. A integração dos três subsistemas que compôem o sistema ContPatri não foi implementada, mas está planejada na arquitetura na forma de um WebService que irá conectar o aplicativo Mobile com a aplicação Web, e também irá conectar a aplicação Web com o servidor do sistema SICOP.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2. Devido ao webservice ainda não estar implementado, as seguintes funcionaldades ainda não puderam ser implementadas: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 - Acesso ao sistema (autenticação de usuários)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 - Envio de dados do celular para o servidor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 - Recebimento de dados do servidor pelo Webservice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3. Para que o WebService seja implementado de acordo com a arquitetura deve ser definida uma interface de integração entre os diferentes sistemas.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4. Para facilitar a obtenção de informações sobre o projeto, busquem as seguintes pessoas para discutir sobre os respectivos subsistemas: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 -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WebSite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Guilherme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 -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Aplicativo Mobile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Danillo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 -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Protótipo do Servidor do SICOP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Wemerson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Essas são portanto as pendências entre o que foi especificado na arquitetura e o que está implementado atualmente no sistema,  e portanto são essas as correções / adaptações / evoluções que deveremos tratar na manutenção do software.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Atenciosamente,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Ulysses Alves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Ulysses - Relatório 23/08/2013.docx</dc:title>
</cp:coreProperties>
</file>