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bookmarkStart w:id="0" w:name="_GoBack"/>
      <w:bookmarkStart w:id="1" w:name="_GoBack"/>
      <w:bookmarkEnd w:id="1"/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  <w:t>RELPREV</w:t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  <w:t>Métricas de Qualidade</w:t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jc w:val="right"/>
      </w:pPr>
      <w:r>
        <w:rPr>
          <w:rFonts w:ascii="Arial" w:cs="Arial" w:hAnsi="Arial"/>
          <w:b/>
          <w:bCs/>
          <w:sz w:val="28"/>
          <w:szCs w:val="28"/>
        </w:rPr>
        <w:t>Versão 1.0</w:t>
      </w:r>
    </w:p>
    <w:p>
      <w:pPr>
        <w:pStyle w:val="style0"/>
        <w:jc w:val="center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spacing w:line="240" w:lineRule="atLeast"/>
      </w:pPr>
      <w:r>
        <w:rPr>
          <w:sz w:val="20"/>
          <w:szCs w:val="20"/>
        </w:rPr>
      </w:r>
    </w:p>
    <w:p>
      <w:pPr>
        <w:pStyle w:val="style0"/>
        <w:spacing w:after="120" w:before="0" w:line="240" w:lineRule="atLeast"/>
        <w:ind w:hanging="0" w:left="720" w:right="0"/>
        <w:contextualSpacing w:val="false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b/>
          <w:bCs/>
          <w:sz w:val="36"/>
          <w:szCs w:val="36"/>
        </w:rPr>
      </w:r>
    </w:p>
    <w:p>
      <w:pPr>
        <w:pStyle w:val="style0"/>
        <w:pageBreakBefore/>
        <w:jc w:val="center"/>
      </w:pPr>
      <w:r>
        <w:rPr>
          <w:rFonts w:ascii="Arial" w:cs="Arial" w:hAnsi="Arial"/>
          <w:b/>
          <w:bCs/>
          <w:sz w:val="36"/>
          <w:szCs w:val="36"/>
        </w:rPr>
        <w:t>Histórico da Revisão</w:t>
      </w:r>
    </w:p>
    <w:tbl>
      <w:tblPr>
        <w:jc w:val="left"/>
        <w:tblInd w:type="dxa" w:w="-432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</w:tblPr>
      <w:tblGrid>
        <w:gridCol w:w="1396"/>
        <w:gridCol w:w="816"/>
        <w:gridCol w:w="4986"/>
        <w:gridCol w:w="3061"/>
      </w:tblGrid>
      <w:tr>
        <w:trPr>
          <w:cantSplit w:val="false"/>
        </w:trPr>
        <w:tc>
          <w:tcPr>
            <w:tcW w:type="dxa" w:w="1396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type="dxa" w:w="816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type="dxa" w:w="4986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type="dxa" w:w="3061"/>
            <w:tcBorders>
              <w:top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  <w:jc w:val="center"/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&lt;nome&gt;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cantSplit w:val="false"/>
        </w:trPr>
        <w:tc>
          <w:tcPr>
            <w:tcW w:type="dxa" w:w="1396"/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81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4986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type="dxa" w:w="3061"/>
            <w:tcBorders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120" w:before="0" w:line="240" w:lineRule="atLeast"/>
              <w:contextualSpacing w:val="false"/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style0"/>
        <w:spacing w:line="240" w:lineRule="atLeast"/>
      </w:pPr>
      <w:r>
        <w:rPr>
          <w:sz w:val="20"/>
          <w:szCs w:val="20"/>
        </w:rPr>
      </w:r>
    </w:p>
    <w:p>
      <w:pPr>
        <w:pStyle w:val="style0"/>
        <w:pageBreakBefore/>
        <w:spacing w:after="720" w:before="0"/>
        <w:contextualSpacing w:val="false"/>
        <w:jc w:val="center"/>
      </w:pPr>
      <w:r>
        <w:rPr>
          <w:rFonts w:ascii="Arial" w:cs="Arial" w:hAnsi="Arial"/>
          <w:b/>
          <w:bCs/>
          <w:sz w:val="36"/>
          <w:szCs w:val="36"/>
        </w:rPr>
        <w:t>Métricas da Qualidade</w:t>
      </w:r>
    </w:p>
    <w:p>
      <w:pPr>
        <w:pStyle w:val="style0"/>
      </w:pPr>
      <w:r>
        <w:rPr>
          <w:rFonts w:ascii="ARIAL" w:hAnsi="ARIAL"/>
          <w:b/>
          <w:bCs/>
          <w:sz w:val="28"/>
          <w:szCs w:val="28"/>
        </w:rPr>
        <w:t>1 Introdução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Este é o template a ser seguido para se atingir os indicadores da garantia da qualidade, através </w:t>
        <w:t>da métrica: Grau de Satisfação do Cliente (GSC) expressa aqui.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  <w:b/>
          <w:bCs/>
          <w:sz w:val="28"/>
          <w:szCs w:val="28"/>
        </w:rPr>
        <w:t>2 Métrica GSC</w:t>
      </w:r>
    </w:p>
    <w:p>
      <w:pPr>
        <w:pStyle w:val="style0"/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yle0"/>
        <w:numPr>
          <w:ilvl w:val="1"/>
          <w:numId w:val="2"/>
        </w:numPr>
      </w:pPr>
      <w:r>
        <w:rPr>
          <w:rFonts w:ascii="ARIAL" w:hAnsi="ARIAL"/>
          <w:b/>
          <w:bCs/>
        </w:rPr>
        <w:t>Dados sobre a Realização</w:t>
      </w:r>
    </w:p>
    <w:tbl>
      <w:tblPr>
        <w:tblW w:type="dxa" w:w="88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419"/>
        <w:gridCol w:w="4419"/>
      </w:tblGrid>
      <w:tr>
        <w:trPr>
          <w:cantSplit w:val="false"/>
        </w:trPr>
        <w:tc>
          <w:tcPr>
            <w:tcW w:type="dxa" w:w="44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Data de Realização:</w:t>
            </w:r>
          </w:p>
        </w:tc>
        <w:tc>
          <w:tcPr>
            <w:tcW w:type="dxa" w:w="44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&lt;Data em que a métrica desse questionário foi aplicada&gt;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Projeto: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&lt;Nome do projeto ao qual o questionário está sendo aplicado&gt;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Responsável pela Medição: 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&lt;Nome do responsável pela aplicação desse questionário&gt;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Responsável Avaliador: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&lt;Nome do avaliador responsável pelo preenchimento do </w:t>
              <w:t>questionário&gt;</w:t>
            </w:r>
          </w:p>
        </w:tc>
      </w:tr>
    </w:tbl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3"/>
        </w:numPr>
      </w:pPr>
      <w:r>
        <w:rPr>
          <w:rFonts w:ascii="ARIAL" w:hAnsi="ARIAL"/>
          <w:b/>
          <w:bCs/>
        </w:rPr>
        <w:t>Faixas</w:t>
      </w:r>
    </w:p>
    <w:p>
      <w:pPr>
        <w:pStyle w:val="style0"/>
      </w:pPr>
      <w:r>
        <w:rPr>
          <w:rFonts w:ascii="ARIAL" w:hAnsi="ARIAL"/>
          <w:b/>
          <w:bCs/>
        </w:rPr>
      </w:r>
    </w:p>
    <w:tbl>
      <w:tblPr>
        <w:tblW w:type="dxa" w:w="88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419"/>
        <w:gridCol w:w="4419"/>
      </w:tblGrid>
      <w:tr>
        <w:trPr>
          <w:cantSplit w:val="false"/>
        </w:trPr>
        <w:tc>
          <w:tcPr>
            <w:tcW w:type="dxa" w:w="44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 xml:space="preserve">Faixas </w:t>
            </w:r>
          </w:p>
        </w:tc>
        <w:tc>
          <w:tcPr>
            <w:tcW w:type="dxa" w:w="44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Valor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Completamente Satisfeito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5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Muito Satisfeito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4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Satisfeito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Pouco Satisfeito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44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Nada Satisfeito</w:t>
            </w:r>
          </w:p>
        </w:tc>
        <w:tc>
          <w:tcPr>
            <w:tcW w:type="dxa" w:w="44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1</w:t>
            </w:r>
          </w:p>
        </w:tc>
      </w:tr>
    </w:tbl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5"/>
        </w:numPr>
      </w:pPr>
      <w:r>
        <w:rPr>
          <w:rFonts w:ascii="ARIAL" w:hAnsi="ARIAL"/>
          <w:b/>
          <w:bCs/>
        </w:rPr>
        <w:t>Metas</w:t>
      </w:r>
    </w:p>
    <w:p>
      <w:pPr>
        <w:pStyle w:val="style0"/>
      </w:pPr>
      <w:r>
        <w:rPr>
          <w:rFonts w:ascii="ARIAL" w:hAnsi="ARIAL"/>
        </w:rPr>
        <w:t xml:space="preserve">A meta para esta métrica é atingir uma média aritmética simples de todas as questões superior a </w:t>
        <w:t>4, ou seja, muito satisfeita ou completamente satisfeita.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1"/>
          <w:numId w:val="4"/>
        </w:numPr>
      </w:pPr>
      <w:r>
        <w:rPr>
          <w:rFonts w:ascii="ARIAL" w:hAnsi="ARIAL"/>
          <w:b/>
          <w:bCs/>
        </w:rPr>
        <w:t>Questionário</w:t>
      </w:r>
    </w:p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  <w:b/>
          <w:bCs/>
        </w:rPr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795"/>
        <w:gridCol w:w="6870"/>
        <w:gridCol w:w="1170"/>
      </w:tblGrid>
      <w:tr>
        <w:trPr>
          <w:cantSplit w:val="false"/>
        </w:trPr>
        <w:tc>
          <w:tcPr>
            <w:tcW w:type="dxa" w:w="7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 xml:space="preserve">Item </w:t>
            </w:r>
          </w:p>
        </w:tc>
        <w:tc>
          <w:tcPr>
            <w:tcW w:type="dxa" w:w="687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Questão</w:t>
            </w:r>
          </w:p>
        </w:tc>
        <w:tc>
          <w:tcPr>
            <w:tcW w:type="dxa" w:w="11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  <w:b/>
                <w:bCs/>
              </w:rPr>
              <w:t>Valor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possui todas funções esperadas.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As funções apresentadas no marco são realizadas de maneira precisa. 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é eficiente.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contém a segurança esperada.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não teve ocorrências de erros.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O produto do marco apresenta soluções de erros, caso ocorrido. 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é conciso nos resultados.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O produto do marco entregue apresentou a qualidade esperada. 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6"/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O produto do marco é de fácil compreensão. 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&lt;1 a 5&gt;</w:t>
            </w:r>
          </w:p>
        </w:tc>
      </w:tr>
      <w:tr>
        <w:trPr>
          <w:cantSplit w:val="false"/>
        </w:trPr>
        <w:tc>
          <w:tcPr>
            <w:tcW w:type="dxa" w:w="7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10 </w:t>
            </w:r>
          </w:p>
        </w:tc>
        <w:tc>
          <w:tcPr>
            <w:tcW w:type="dxa" w:w="687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>O produto do marco obteve o resultado esperado.</w:t>
            </w:r>
          </w:p>
        </w:tc>
        <w:tc>
          <w:tcPr>
            <w:tcW w:type="dxa" w:w="117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&lt;1 a 5&gt;</w:t>
            </w:r>
          </w:p>
        </w:tc>
      </w:tr>
    </w:tbl>
    <w:p>
      <w:pPr>
        <w:pStyle w:val="style0"/>
      </w:pPr>
      <w:r>
        <w:rPr>
          <w:rFonts w:ascii="ARIAL" w:hAnsi="ARIAL"/>
          <w:b/>
          <w:bCs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bookmarkStart w:id="2" w:name="1.__________________Introduction"/>
      <w:bookmarkStart w:id="3" w:name="1.__________________Introduction"/>
      <w:bookmarkEnd w:id="3"/>
      <w:r>
        <w:rPr>
          <w:rFonts w:ascii="ARIAL" w:hAnsi="ARIAL"/>
        </w:rPr>
      </w:r>
    </w:p>
    <w:sectPr>
      <w:headerReference r:id="rId2" w:type="default"/>
      <w:type w:val="nextPage"/>
      <w:pgSz w:h="15840" w:w="12240"/>
      <w:pgMar w:bottom="1417" w:footer="0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tabs>
        <w:tab w:leader="none" w:pos="4419" w:val="center"/>
        <w:tab w:leader="none" w:pos="8838" w:val="right"/>
      </w:tabs>
    </w:pPr>
    <w:r>
      <w:rPr/>
      <w:tab/>
      <w:tab/>
    </w:r>
    <w:r>
      <w:rPr/>
      <w:drawing>
        <wp:inline distB="0" distL="0" distR="0" distT="0">
          <wp:extent cx="1123950" cy="79057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-424180</wp:posOffset>
          </wp:positionH>
          <wp:positionV relativeFrom="line">
            <wp:posOffset>-14605</wp:posOffset>
          </wp:positionV>
          <wp:extent cx="2411095" cy="819785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4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3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pt-BR" w:val="pt-BR"/>
    </w:rPr>
  </w:style>
  <w:style w:styleId="style1" w:type="paragraph">
    <w:name w:val="Título 1"/>
    <w:basedOn w:val="style0"/>
    <w:next w:val="style22"/>
    <w:pPr>
      <w:keepNext/>
      <w:spacing w:after="60" w:before="120" w:line="240" w:lineRule="atLeast"/>
      <w:ind w:hanging="720" w:left="720" w:right="0"/>
      <w:contextualSpacing w:val="false"/>
    </w:pPr>
    <w:rPr>
      <w:rFonts w:ascii="Arial" w:cs="Arial" w:hAnsi="Arial"/>
      <w:b/>
      <w:bCs/>
    </w:rPr>
  </w:style>
  <w:style w:styleId="style2" w:type="paragraph">
    <w:name w:val="Título 2"/>
    <w:basedOn w:val="style0"/>
    <w:next w:val="style22"/>
    <w:pPr>
      <w:keepNext/>
      <w:numPr>
        <w:ilvl w:val="1"/>
        <w:numId w:val="1"/>
      </w:numPr>
      <w:spacing w:after="60" w:before="120" w:line="240" w:lineRule="atLeast"/>
      <w:ind w:hanging="720" w:left="720" w:right="0"/>
      <w:contextualSpacing w:val="false"/>
      <w:outlineLvl w:val="1"/>
    </w:pPr>
    <w:rPr>
      <w:rFonts w:ascii="Arial" w:cs="Arial" w:hAnsi="Arial"/>
      <w:b/>
      <w:bCs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Link da Internet"/>
    <w:next w:val="style16"/>
    <w:rPr>
      <w:color w:val="0000FF"/>
      <w:u w:val="single"/>
      <w:lang w:bidi="pt-BR" w:eastAsia="pt-BR" w:val="pt-BR"/>
    </w:rPr>
  </w:style>
  <w:style w:styleId="style17" w:type="character">
    <w:name w:val="Cabeçalho Char"/>
    <w:next w:val="style17"/>
    <w:rPr>
      <w:sz w:val="24"/>
      <w:szCs w:val="24"/>
    </w:rPr>
  </w:style>
  <w:style w:styleId="style18" w:type="character">
    <w:name w:val="Rodapé Char"/>
    <w:next w:val="style18"/>
    <w:rPr>
      <w:sz w:val="24"/>
      <w:szCs w:val="24"/>
    </w:rPr>
  </w:style>
  <w:style w:styleId="style19" w:type="character">
    <w:name w:val="Texto de balão Char"/>
    <w:next w:val="style19"/>
    <w:rPr>
      <w:rFonts w:ascii="Tahoma" w:cs="Tahoma" w:hAnsi="Tahoma"/>
      <w:sz w:val="16"/>
      <w:szCs w:val="16"/>
    </w:rPr>
  </w:style>
  <w:style w:styleId="style20" w:type="character">
    <w:name w:val="Símbolos de numeração"/>
    <w:next w:val="style20"/>
    <w:rPr/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FreeSans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FreeSans"/>
    </w:rPr>
  </w:style>
  <w:style w:styleId="style26" w:type="paragraph">
    <w:name w:val="Sumário 1"/>
    <w:basedOn w:val="style0"/>
    <w:next w:val="style26"/>
    <w:pPr>
      <w:tabs>
        <w:tab w:leader="dot" w:pos="9638" w:val="right"/>
      </w:tabs>
      <w:spacing w:after="60" w:before="240" w:line="240" w:lineRule="atLeast"/>
      <w:ind w:hanging="0" w:left="0" w:right="720"/>
      <w:contextualSpacing w:val="false"/>
    </w:pPr>
    <w:rPr>
      <w:sz w:val="20"/>
      <w:szCs w:val="20"/>
    </w:rPr>
  </w:style>
  <w:style w:styleId="style27" w:type="paragraph">
    <w:name w:val="Sumário 2"/>
    <w:basedOn w:val="style0"/>
    <w:next w:val="style27"/>
    <w:pPr>
      <w:tabs>
        <w:tab w:leader="dot" w:pos="9787" w:val="right"/>
      </w:tabs>
      <w:spacing w:line="240" w:lineRule="atLeast"/>
      <w:ind w:hanging="0" w:left="432" w:right="720"/>
    </w:pPr>
    <w:rPr>
      <w:sz w:val="20"/>
      <w:szCs w:val="20"/>
    </w:rPr>
  </w:style>
  <w:style w:styleId="style28" w:type="paragraph">
    <w:name w:val="Título principal"/>
    <w:basedOn w:val="style0"/>
    <w:next w:val="style29"/>
    <w:pPr>
      <w:jc w:val="center"/>
    </w:pPr>
    <w:rPr>
      <w:rFonts w:ascii="Arial" w:cs="Arial" w:hAnsi="Arial"/>
      <w:b/>
      <w:bCs/>
      <w:sz w:val="36"/>
      <w:szCs w:val="36"/>
    </w:rPr>
  </w:style>
  <w:style w:styleId="style29" w:type="paragraph">
    <w:name w:val="Subtítulo"/>
    <w:basedOn w:val="style21"/>
    <w:next w:val="style22"/>
    <w:pPr>
      <w:jc w:val="center"/>
    </w:pPr>
    <w:rPr>
      <w:i/>
      <w:iCs/>
      <w:sz w:val="28"/>
      <w:szCs w:val="28"/>
    </w:rPr>
  </w:style>
  <w:style w:styleId="style30" w:type="paragraph">
    <w:name w:val="tabletext"/>
    <w:basedOn w:val="style0"/>
    <w:next w:val="style30"/>
    <w:pPr>
      <w:spacing w:after="120" w:before="0" w:line="240" w:lineRule="atLeast"/>
      <w:contextualSpacing w:val="false"/>
    </w:pPr>
    <w:rPr>
      <w:sz w:val="20"/>
      <w:szCs w:val="20"/>
    </w:rPr>
  </w:style>
  <w:style w:styleId="style31" w:type="paragraph">
    <w:name w:val="infoblue"/>
    <w:basedOn w:val="style0"/>
    <w:next w:val="style31"/>
    <w:pPr>
      <w:spacing w:after="120" w:before="0" w:line="240" w:lineRule="atLeast"/>
      <w:ind w:hanging="0" w:left="720" w:right="0"/>
      <w:contextualSpacing w:val="false"/>
    </w:pPr>
    <w:rPr>
      <w:i/>
      <w:iCs/>
      <w:color w:val="0000FF"/>
      <w:sz w:val="20"/>
      <w:szCs w:val="20"/>
    </w:rPr>
  </w:style>
  <w:style w:styleId="style32" w:type="paragraph">
    <w:name w:val="Corpo de texto recuado"/>
    <w:basedOn w:val="style0"/>
    <w:next w:val="style32"/>
    <w:pPr>
      <w:spacing w:after="0" w:before="120" w:line="240" w:lineRule="atLeast"/>
      <w:ind w:hanging="0" w:left="1168" w:right="0"/>
      <w:contextualSpacing w:val="false"/>
    </w:pPr>
    <w:rPr>
      <w:i/>
      <w:iCs/>
      <w:color w:val="0000FF"/>
      <w:sz w:val="20"/>
      <w:szCs w:val="20"/>
    </w:rPr>
  </w:style>
  <w:style w:styleId="style33" w:type="paragraph">
    <w:name w:val="Cabeçalho"/>
    <w:basedOn w:val="style0"/>
    <w:next w:val="style33"/>
    <w:pPr>
      <w:suppressLineNumbers/>
      <w:tabs>
        <w:tab w:leader="none" w:pos="4252" w:val="center"/>
        <w:tab w:leader="none" w:pos="8504" w:val="right"/>
      </w:tabs>
    </w:pPr>
    <w:rPr/>
  </w:style>
  <w:style w:styleId="style34" w:type="paragraph">
    <w:name w:val="Rodapé"/>
    <w:basedOn w:val="style0"/>
    <w:next w:val="style34"/>
    <w:pPr>
      <w:suppressLineNumbers/>
      <w:tabs>
        <w:tab w:leader="none" w:pos="4252" w:val="center"/>
        <w:tab w:leader="none" w:pos="8504" w:val="right"/>
      </w:tabs>
    </w:pPr>
    <w:rPr/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Conteúdo da tabela"/>
    <w:basedOn w:val="style0"/>
    <w:next w:val="style36"/>
    <w:pPr>
      <w:suppressLineNumbers/>
    </w:pPr>
    <w:rPr/>
  </w:style>
  <w:style w:styleId="style37" w:type="paragraph">
    <w:name w:val="Título de tabela"/>
    <w:basedOn w:val="style36"/>
    <w:next w:val="style3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2013-10-11T22:57:00.00Z</dcterms:created>
  <dc:creator>MPS em ação</dc:creator>
  <cp:lastModifiedBy>Herbert Nunes</cp:lastModifiedBy>
  <dcterms:modified xsi:type="dcterms:W3CDTF">2013-10-11T22:57:00.00Z</dcterms:modified>
  <cp:revision>2</cp:revision>
  <dc:title>&gt;</dc:title>
</cp:coreProperties>
</file>