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rPr/>
      </w:pPr>
      <w:r>
        <w:rPr>
          <w:rFonts w:ascii="Calibri" w:hAnsi="Calibri"/>
          <w:b/>
          <w:color w:val="1A3055"/>
          <w:sz w:val="44"/>
        </w:rPr>
        <w:t>Fabrice Rimlinger</w:t>
      </w:r>
    </w:p>
    <w:p>
      <w:pPr>
        <w:pStyle w:val="Normal"/>
        <w:spacing w:before="0" w:after="40"/>
        <w:rPr/>
      </w:pPr>
      <w:r>
        <w:rPr>
          <w:rFonts w:ascii="Calibri" w:hAnsi="Calibri"/>
          <w:b w:val="false"/>
          <w:i w:val="false"/>
          <w:color w:val="2D5A8E"/>
          <w:sz w:val="22"/>
        </w:rPr>
        <w:t>Senior PMO / Change Lead  |  Operations &amp; Transformation</w:t>
      </w:r>
    </w:p>
    <w:p>
      <w:pPr>
        <w:pStyle w:val="Normal"/>
        <w:spacing w:before="40" w:after="80"/>
        <w:rPr/>
      </w:pPr>
      <w:r>
        <w:rPr>
          <w:rFonts w:ascii="Calibri" w:hAnsi="Calibri"/>
          <w:b w:val="false"/>
          <w:i w:val="false"/>
          <w:color w:val="555555"/>
          <w:sz w:val="17"/>
        </w:rPr>
        <w:t>+33 (0)6 23 57 77 85  |  fabrice@rimlinger.eu  |  linkedin.com/in/fabricerimlinger  |  Marseille, France</w:t>
      </w:r>
    </w:p>
    <w:p>
      <w:pPr>
        <w:pStyle w:val="Normal"/>
        <w:spacing w:before="40" w:after="80"/>
        <w:rPr>
          <w:rFonts w:ascii="Calibri" w:hAnsi="Calibri"/>
          <w:b/>
          <w:i w:val="false"/>
          <w:i w:val="false"/>
          <w:color w:val="1A3055"/>
          <w:sz w:val="18"/>
        </w:rPr>
      </w:pPr>
      <w:r>
        <w:rPr/>
      </w:r>
    </w:p>
    <w:p>
      <w:pPr>
        <w:pStyle w:val="Normal"/>
        <w:pBdr>
          <w:bottom w:val="single" w:sz="12" w:space="1" w:color="1A3055"/>
        </w:pBdr>
        <w:spacing w:before="120" w:after="60"/>
        <w:rPr/>
      </w:pPr>
      <w:r>
        <w:rPr>
          <w:rFonts w:ascii="Calibri" w:hAnsi="Calibri"/>
          <w:b/>
          <w:i w:val="false"/>
          <w:color w:val="1A3055"/>
          <w:sz w:val="18"/>
        </w:rPr>
        <w:t>PROFESSIONAL SUMMARY</w:t>
      </w:r>
    </w:p>
    <w:p>
      <w:pPr>
        <w:pStyle w:val="Normal"/>
        <w:spacing w:before="40" w:after="60"/>
        <w:rPr/>
      </w:pPr>
      <w:r>
        <w:rPr>
          <w:rFonts w:ascii="Calibri" w:hAnsi="Calibri"/>
          <w:b w:val="false"/>
          <w:i w:val="false"/>
          <w:sz w:val="19"/>
        </w:rPr>
        <w:t xml:space="preserve">Senior </w:t>
      </w:r>
      <w:r>
        <w:rPr>
          <w:rFonts w:ascii="Calibri" w:hAnsi="Calibri"/>
          <w:b w:val="false"/>
          <w:i w:val="false"/>
          <w:sz w:val="19"/>
        </w:rPr>
        <w:t xml:space="preserve">manager </w:t>
      </w:r>
      <w:r>
        <w:rPr>
          <w:rFonts w:ascii="Calibri" w:hAnsi="Calibri"/>
          <w:b w:val="false"/>
          <w:i w:val="false"/>
          <w:sz w:val="19"/>
        </w:rPr>
        <w:t>with 20 years of experience embedding change in ways of working and coaching project teams in complex, international logistics environments — Amazon (10 years), Colis Privé (CEVA Logistics / CMA CGM Group), Infarm, Dole Europe.</w:t>
      </w:r>
    </w:p>
    <w:p>
      <w:pPr>
        <w:pStyle w:val="Normal"/>
        <w:spacing w:before="0" w:after="60"/>
        <w:rPr/>
      </w:pPr>
      <w:r>
        <w:rPr>
          <w:rFonts w:ascii="Calibri" w:hAnsi="Calibri"/>
          <w:b w:val="false"/>
          <w:i w:val="false"/>
          <w:sz w:val="19"/>
        </w:rPr>
        <w:t>I specialize in the hands-on work of change: attending the meetings, building materials alongside teams, coaching PMs individually, and creating governance artifacts that become daily practice. Track record of breaking ingrained habits and embedding tighter governance controls through hearts and minds leadership.</w:t>
      </w:r>
    </w:p>
    <w:p>
      <w:pPr>
        <w:pStyle w:val="Normal"/>
        <w:spacing w:before="40" w:after="120"/>
        <w:rPr/>
      </w:pPr>
      <w:r>
        <w:rPr>
          <w:rFonts w:ascii="Calibri" w:hAnsi="Calibri"/>
          <w:b/>
          <w:i/>
          <w:color w:val="1A3055"/>
          <w:sz w:val="18"/>
        </w:rPr>
        <w:t>Trilingual FR/EN/ES  ·  Based in Marseille  ·  Available immediately</w:t>
      </w:r>
    </w:p>
    <w:p>
      <w:pPr>
        <w:pStyle w:val="Normal"/>
        <w:spacing w:before="40" w:after="120"/>
        <w:rPr>
          <w:rFonts w:ascii="Calibri" w:hAnsi="Calibri"/>
          <w:b/>
          <w:i/>
          <w:i/>
          <w:color w:val="1A3055"/>
          <w:sz w:val="18"/>
        </w:rPr>
      </w:pPr>
      <w:r>
        <w:rPr/>
      </w:r>
    </w:p>
    <w:p>
      <w:pPr>
        <w:pStyle w:val="Normal"/>
        <w:keepNext w:val="true"/>
        <w:pBdr>
          <w:bottom w:val="single" w:sz="12" w:space="1" w:color="1A3055"/>
        </w:pBdr>
        <w:spacing w:before="120" w:after="60"/>
        <w:rPr/>
      </w:pPr>
      <w:r>
        <w:rPr>
          <w:rFonts w:ascii="Calibri" w:hAnsi="Calibri"/>
          <w:b/>
          <w:i w:val="false"/>
          <w:color w:val="1A3055"/>
          <w:sz w:val="18"/>
        </w:rPr>
        <w:t>PROFESSIONAL EXPERIENCE</w:t>
      </w:r>
    </w:p>
    <w:p>
      <w:pPr>
        <w:pStyle w:val="Normal"/>
        <w:keepNext w:val="true"/>
        <w:tabs>
          <w:tab w:val="clear" w:pos="720"/>
          <w:tab w:val="right" w:pos="9751" w:leader="none"/>
        </w:tabs>
        <w:spacing w:before="100" w:after="20"/>
        <w:rPr/>
      </w:pPr>
      <w:r>
        <w:rPr>
          <w:rFonts w:ascii="Calibri" w:hAnsi="Calibri"/>
          <w:b/>
          <w:i w:val="false"/>
          <w:color w:val="1A3055"/>
          <w:sz w:val="19"/>
        </w:rPr>
        <w:t xml:space="preserve">Director Business Excellence  </w:t>
      </w:r>
      <w:r>
        <w:rPr>
          <w:rFonts w:ascii="Calibri" w:hAnsi="Calibri"/>
          <w:b w:val="false"/>
          <w:i/>
          <w:color w:val="555555"/>
          <w:sz w:val="19"/>
        </w:rPr>
        <w:t>— Colis Privé (CEVA Logistics / CMA CGM Group)</w:t>
      </w:r>
      <w:r>
        <w:rPr>
          <w:rFonts w:ascii="Calibri" w:hAnsi="Calibri"/>
          <w:b w:val="false"/>
          <w:i w:val="false"/>
          <w:color w:val="555555"/>
          <w:sz w:val="17"/>
        </w:rPr>
        <w:tab/>
        <w:t>05/2024 – 02/2026  ·  Marseille</w:t>
      </w:r>
    </w:p>
    <w:p>
      <w:pPr>
        <w:pStyle w:val="Normal"/>
        <w:spacing w:before="0" w:after="40"/>
        <w:rPr/>
      </w:pPr>
      <w:r>
        <w:rPr>
          <w:rFonts w:ascii="Calibri" w:hAnsi="Calibri"/>
          <w:b w:val="false"/>
          <w:i/>
          <w:color w:val="555555"/>
          <w:sz w:val="17"/>
        </w:rPr>
        <w:t>375M€ revenue  ·  90M+ parcels/year  ·  25 direct reports</w:t>
      </w:r>
    </w:p>
    <w:p>
      <w:pPr>
        <w:pStyle w:val="Normal"/>
        <w:spacing w:before="0" w:after="40"/>
        <w:ind w:hanging="198" w:left="227"/>
        <w:rPr/>
      </w:pPr>
      <w:r>
        <w:rPr>
          <w:rFonts w:ascii="Calibri" w:hAnsi="Calibri"/>
          <w:b w:val="false"/>
          <w:i w:val="false"/>
          <w:sz w:val="18"/>
        </w:rPr>
        <w:t xml:space="preserve">• </w:t>
      </w:r>
      <w:r>
        <w:rPr>
          <w:rFonts w:ascii="Calibri" w:hAnsi="Calibri"/>
          <w:b w:val="false"/>
          <w:i w:val="false"/>
          <w:sz w:val="18"/>
        </w:rPr>
        <w:t xml:space="preserve">Directed and coached a 25-person team across performance, service quality, and continuous improvement — embedding data-driven ways of working and governance standards across 5 hubs and 25 </w:t>
      </w:r>
      <w:r>
        <w:rPr>
          <w:rFonts w:ascii="Calibri" w:hAnsi="Calibri"/>
          <w:b w:val="false"/>
          <w:i w:val="false"/>
          <w:sz w:val="18"/>
        </w:rPr>
        <w:t xml:space="preserve">delivery </w:t>
      </w:r>
      <w:r>
        <w:rPr>
          <w:rFonts w:ascii="Calibri" w:hAnsi="Calibri"/>
          <w:b w:val="false"/>
          <w:i w:val="false"/>
          <w:sz w:val="18"/>
        </w:rPr>
        <w:t>stations</w:t>
      </w:r>
    </w:p>
    <w:p>
      <w:pPr>
        <w:pStyle w:val="Normal"/>
        <w:spacing w:before="0" w:after="40"/>
        <w:ind w:hanging="198" w:left="227"/>
        <w:rPr/>
      </w:pPr>
      <w:r>
        <w:rPr>
          <w:rFonts w:ascii="Calibri" w:hAnsi="Calibri"/>
          <w:b w:val="false"/>
          <w:i w:val="false"/>
          <w:sz w:val="18"/>
        </w:rPr>
        <w:t xml:space="preserve">• </w:t>
      </w:r>
      <w:r>
        <w:rPr>
          <w:rFonts w:ascii="Calibri" w:hAnsi="Calibri"/>
          <w:b w:val="false"/>
          <w:i w:val="false"/>
          <w:sz w:val="18"/>
        </w:rPr>
        <w:t>Reorganized the performance team: introduced steering committees, automated performance tracking, and a governance framework that challenged results weekly — moved from ad hoc reviews to a structured, accountable operating rhythm</w:t>
      </w:r>
    </w:p>
    <w:p>
      <w:pPr>
        <w:pStyle w:val="Normal"/>
        <w:spacing w:before="0" w:after="40"/>
        <w:ind w:hanging="198" w:left="227"/>
        <w:rPr/>
      </w:pPr>
      <w:r>
        <w:rPr>
          <w:rFonts w:ascii="Calibri" w:hAnsi="Calibri"/>
          <w:b w:val="false"/>
          <w:i w:val="false"/>
          <w:sz w:val="18"/>
        </w:rPr>
        <w:t xml:space="preserve">• </w:t>
      </w:r>
      <w:r>
        <w:rPr>
          <w:rFonts w:ascii="Calibri" w:hAnsi="Calibri"/>
          <w:b w:val="false"/>
          <w:i w:val="false"/>
          <w:sz w:val="18"/>
        </w:rPr>
        <w:t>Led change management for an automation programme (AI forecasting, RPA, call bots): coached teams through new ways of working, reduced manual tasks by 40%, improved service levels by 30%</w:t>
      </w:r>
    </w:p>
    <w:p>
      <w:pPr>
        <w:pStyle w:val="Normal"/>
        <w:spacing w:before="0" w:after="40"/>
        <w:ind w:hanging="198" w:left="227"/>
        <w:rPr/>
      </w:pPr>
      <w:r>
        <w:rPr>
          <w:rFonts w:ascii="Calibri" w:hAnsi="Calibri"/>
          <w:b w:val="false"/>
          <w:i w:val="false"/>
          <w:sz w:val="18"/>
        </w:rPr>
        <w:t xml:space="preserve">• </w:t>
      </w:r>
      <w:r>
        <w:rPr>
          <w:rFonts w:ascii="Calibri" w:hAnsi="Calibri"/>
          <w:b w:val="false"/>
          <w:i w:val="false"/>
          <w:sz w:val="18"/>
        </w:rPr>
        <w:t>Reduced Customer Service budget by 20% (€550k/year savings) despite 7.5% volume growth</w:t>
      </w:r>
    </w:p>
    <w:p>
      <w:pPr>
        <w:pStyle w:val="Normal"/>
        <w:spacing w:before="0" w:after="40"/>
        <w:ind w:hanging="198" w:left="227"/>
        <w:rPr>
          <w:rFonts w:ascii="Calibri" w:hAnsi="Calibri"/>
          <w:b w:val="false"/>
          <w:i w:val="false"/>
          <w:i w:val="false"/>
          <w:sz w:val="18"/>
        </w:rPr>
      </w:pPr>
      <w:r>
        <w:rPr/>
      </w:r>
    </w:p>
    <w:p>
      <w:pPr>
        <w:pStyle w:val="Normal"/>
        <w:keepNext w:val="true"/>
        <w:tabs>
          <w:tab w:val="clear" w:pos="720"/>
          <w:tab w:val="right" w:pos="9751" w:leader="none"/>
        </w:tabs>
        <w:spacing w:before="100" w:after="20"/>
        <w:rPr/>
      </w:pPr>
      <w:r>
        <w:rPr>
          <w:rFonts w:ascii="Calibri" w:hAnsi="Calibri"/>
          <w:b/>
          <w:i w:val="false"/>
          <w:color w:val="1A3055"/>
          <w:sz w:val="19"/>
        </w:rPr>
        <w:t xml:space="preserve">Director of Transformation  </w:t>
      </w:r>
      <w:r>
        <w:rPr>
          <w:rFonts w:ascii="Calibri" w:hAnsi="Calibri"/>
          <w:b w:val="false"/>
          <w:i/>
          <w:color w:val="555555"/>
          <w:sz w:val="19"/>
        </w:rPr>
        <w:t>— Colis Privé</w:t>
      </w:r>
      <w:r>
        <w:rPr>
          <w:rFonts w:ascii="Calibri" w:hAnsi="Calibri"/>
          <w:b w:val="false"/>
          <w:i w:val="false"/>
          <w:color w:val="555555"/>
          <w:sz w:val="17"/>
        </w:rPr>
        <w:tab/>
        <w:t>07/2023 – 04/2024  ·  Marseille</w:t>
      </w:r>
    </w:p>
    <w:p>
      <w:pPr>
        <w:pStyle w:val="Normal"/>
        <w:spacing w:before="0" w:after="40"/>
        <w:ind w:hanging="198" w:left="227"/>
        <w:rPr/>
      </w:pPr>
      <w:r>
        <w:rPr>
          <w:rFonts w:ascii="Calibri" w:hAnsi="Calibri"/>
          <w:b w:val="false"/>
          <w:i w:val="false"/>
          <w:sz w:val="18"/>
        </w:rPr>
        <w:t xml:space="preserve">• </w:t>
      </w:r>
      <w:r>
        <w:rPr>
          <w:rFonts w:ascii="Calibri" w:hAnsi="Calibri"/>
          <w:b w:val="false"/>
          <w:i w:val="false"/>
          <w:sz w:val="18"/>
        </w:rPr>
        <w:t>Led the integration of 300 employees from an acquired company — coached cross-functional teams through the alignment of ways of working, handled legal negotiations, risk management, and P&amp;L modelling</w:t>
      </w:r>
    </w:p>
    <w:p>
      <w:pPr>
        <w:pStyle w:val="Normal"/>
        <w:spacing w:before="0" w:after="40"/>
        <w:ind w:hanging="198" w:left="227"/>
        <w:rPr/>
      </w:pPr>
      <w:r>
        <w:rPr>
          <w:rFonts w:ascii="Calibri" w:hAnsi="Calibri"/>
          <w:b w:val="false"/>
          <w:i w:val="false"/>
          <w:sz w:val="18"/>
        </w:rPr>
        <w:t xml:space="preserve">• </w:t>
      </w:r>
      <w:r>
        <w:rPr>
          <w:rFonts w:ascii="Calibri" w:hAnsi="Calibri"/>
          <w:b w:val="false"/>
          <w:i w:val="false"/>
          <w:sz w:val="18"/>
        </w:rPr>
        <w:t>Delivered full operational continuity throughout the transition (250,000 daily deliveries) — by working alongside teams and aligning processes incrementally, not imposing change from above</w:t>
      </w:r>
    </w:p>
    <w:p>
      <w:pPr>
        <w:pStyle w:val="Normal"/>
        <w:spacing w:before="0" w:after="40"/>
        <w:ind w:hanging="198" w:left="227"/>
        <w:rPr/>
      </w:pPr>
      <w:r>
        <w:rPr>
          <w:rFonts w:ascii="Calibri" w:hAnsi="Calibri"/>
          <w:b w:val="false"/>
          <w:i w:val="false"/>
          <w:sz w:val="18"/>
        </w:rPr>
        <w:t xml:space="preserve">• </w:t>
      </w:r>
      <w:r>
        <w:rPr>
          <w:rFonts w:ascii="Calibri" w:hAnsi="Calibri"/>
          <w:b w:val="false"/>
          <w:i w:val="false"/>
          <w:sz w:val="18"/>
        </w:rPr>
        <w:t>Defined the governance framework and operational playbooks that both organizations adopted as their new standard</w:t>
      </w:r>
    </w:p>
    <w:p>
      <w:pPr>
        <w:pStyle w:val="Normal"/>
        <w:spacing w:before="0" w:after="40"/>
        <w:ind w:hanging="198" w:left="227"/>
        <w:rPr>
          <w:rFonts w:ascii="Calibri" w:hAnsi="Calibri"/>
          <w:b w:val="false"/>
          <w:i w:val="false"/>
          <w:i w:val="false"/>
          <w:sz w:val="18"/>
        </w:rPr>
      </w:pPr>
      <w:r>
        <w:rPr/>
      </w:r>
    </w:p>
    <w:p>
      <w:pPr>
        <w:pStyle w:val="Normal"/>
        <w:keepNext w:val="true"/>
        <w:tabs>
          <w:tab w:val="clear" w:pos="720"/>
          <w:tab w:val="right" w:pos="9751" w:leader="none"/>
        </w:tabs>
        <w:spacing w:before="100" w:after="20"/>
        <w:rPr/>
      </w:pPr>
      <w:r>
        <w:rPr>
          <w:rFonts w:ascii="Calibri" w:hAnsi="Calibri"/>
          <w:b/>
          <w:i w:val="false"/>
          <w:color w:val="1A3055"/>
          <w:sz w:val="19"/>
        </w:rPr>
        <w:t xml:space="preserve">Head of Technical &amp; Environmental Due Diligence  </w:t>
      </w:r>
      <w:r>
        <w:rPr>
          <w:rFonts w:ascii="Calibri" w:hAnsi="Calibri"/>
          <w:b w:val="false"/>
          <w:i/>
          <w:color w:val="555555"/>
          <w:sz w:val="19"/>
        </w:rPr>
        <w:t>— Amazon EMEA</w:t>
      </w:r>
      <w:r>
        <w:rPr>
          <w:rFonts w:ascii="Calibri" w:hAnsi="Calibri"/>
          <w:b w:val="false"/>
          <w:i w:val="false"/>
          <w:color w:val="555555"/>
          <w:sz w:val="17"/>
        </w:rPr>
        <w:tab/>
        <w:t>10/2018 – 08/2021  ·  Remote (Aix-en-Provence)</w:t>
      </w:r>
    </w:p>
    <w:p>
      <w:pPr>
        <w:pStyle w:val="Normal"/>
        <w:spacing w:before="0" w:after="40"/>
        <w:rPr/>
      </w:pPr>
      <w:r>
        <w:rPr>
          <w:rFonts w:ascii="Calibri" w:hAnsi="Calibri"/>
          <w:b w:val="false"/>
          <w:i/>
          <w:color w:val="555555"/>
          <w:sz w:val="17"/>
        </w:rPr>
        <w:t>1,200+ projects/year  ·  10 risk managers + 30+ consultants  ·  €40M/year budget  ·  team scaled 3 → 10 in 3 months</w:t>
      </w:r>
    </w:p>
    <w:p>
      <w:pPr>
        <w:pStyle w:val="Normal"/>
        <w:spacing w:before="0" w:after="40"/>
        <w:ind w:hanging="198" w:left="227"/>
        <w:rPr/>
      </w:pPr>
      <w:r>
        <w:rPr>
          <w:rFonts w:ascii="Calibri" w:hAnsi="Calibri"/>
          <w:b w:val="false"/>
          <w:i w:val="false"/>
          <w:sz w:val="18"/>
        </w:rPr>
        <w:t xml:space="preserve">• </w:t>
      </w:r>
      <w:r>
        <w:rPr>
          <w:rFonts w:ascii="Calibri" w:hAnsi="Calibri"/>
          <w:b w:val="false"/>
          <w:i w:val="false"/>
          <w:sz w:val="18"/>
        </w:rPr>
        <w:t>Scaled the team from 3 to 10 in under 3 months — built the governance structure that made it sustainable: moved from individual Excel files to a structured operating system with weekly/monthly rituals, project trackers, milestone deliverables, and stakeholder packs, all from scratch</w:t>
      </w:r>
    </w:p>
    <w:p>
      <w:pPr>
        <w:pStyle w:val="Normal"/>
        <w:spacing w:before="0" w:after="40"/>
        <w:ind w:hanging="198" w:left="227"/>
        <w:rPr/>
      </w:pPr>
      <w:r>
        <w:rPr>
          <w:rFonts w:ascii="Calibri" w:hAnsi="Calibri"/>
          <w:b w:val="false"/>
          <w:i w:val="false"/>
          <w:sz w:val="18"/>
        </w:rPr>
        <w:t xml:space="preserve">• </w:t>
      </w:r>
      <w:r>
        <w:rPr>
          <w:rFonts w:ascii="Calibri" w:hAnsi="Calibri"/>
          <w:b w:val="false"/>
          <w:i w:val="false"/>
          <w:sz w:val="18"/>
        </w:rPr>
        <w:t>Designed and deployed SHIELD — Amazon EMEA's governance platform for 1,200+ projects/year. Real work: building the artifacts (intake forms, reporting templates, governance packs), running workshops, coaching individuals until **100% EMEA stakeholder adoption**</w:t>
      </w:r>
    </w:p>
    <w:p>
      <w:pPr>
        <w:pStyle w:val="Normal"/>
        <w:spacing w:before="0" w:after="40"/>
        <w:ind w:hanging="198" w:left="227"/>
        <w:rPr/>
      </w:pPr>
      <w:r>
        <w:rPr>
          <w:rFonts w:ascii="Calibri" w:hAnsi="Calibri"/>
          <w:b w:val="false"/>
          <w:i w:val="false"/>
          <w:sz w:val="18"/>
        </w:rPr>
        <w:t xml:space="preserve">• </w:t>
      </w:r>
      <w:r>
        <w:rPr>
          <w:rFonts w:ascii="Calibri" w:hAnsi="Calibri"/>
          <w:b w:val="false"/>
          <w:i w:val="false"/>
          <w:sz w:val="18"/>
        </w:rPr>
        <w:t>Created the DD Intake process from scratch — governance artifact adopted as the standard operating method by all Amazon Real Estate teams EMEA</w:t>
      </w:r>
    </w:p>
    <w:p>
      <w:pPr>
        <w:pStyle w:val="Normal"/>
        <w:keepNext w:val="true"/>
        <w:tabs>
          <w:tab w:val="clear" w:pos="720"/>
          <w:tab w:val="right" w:pos="9751" w:leader="none"/>
        </w:tabs>
        <w:spacing w:before="100" w:after="20"/>
        <w:rPr/>
      </w:pPr>
      <w:r>
        <w:rPr>
          <w:rFonts w:ascii="Calibri" w:hAnsi="Calibri"/>
          <w:b/>
          <w:i w:val="false"/>
          <w:color w:val="1A3055"/>
          <w:sz w:val="19"/>
        </w:rPr>
        <w:t xml:space="preserve">Head of Transportation Technology  </w:t>
      </w:r>
      <w:r>
        <w:rPr>
          <w:rFonts w:ascii="Calibri" w:hAnsi="Calibri"/>
          <w:b w:val="false"/>
          <w:i/>
          <w:color w:val="555555"/>
          <w:sz w:val="19"/>
        </w:rPr>
        <w:t>— Amazon South EU</w:t>
      </w:r>
      <w:r>
        <w:rPr>
          <w:rFonts w:ascii="Calibri" w:hAnsi="Calibri"/>
          <w:b w:val="false"/>
          <w:i w:val="false"/>
          <w:color w:val="555555"/>
          <w:sz w:val="17"/>
        </w:rPr>
        <w:tab/>
        <w:t>04/2014 – 03/2016  ·  Paris</w:t>
      </w:r>
    </w:p>
    <w:p>
      <w:pPr>
        <w:pStyle w:val="Normal"/>
        <w:spacing w:before="0" w:after="40"/>
        <w:ind w:hanging="198" w:left="227"/>
        <w:rPr/>
      </w:pPr>
      <w:r>
        <w:rPr>
          <w:rFonts w:ascii="Calibri" w:hAnsi="Calibri"/>
          <w:b w:val="false"/>
          <w:i w:val="false"/>
          <w:sz w:val="18"/>
        </w:rPr>
        <w:t xml:space="preserve">• </w:t>
      </w:r>
      <w:r>
        <w:rPr>
          <w:rFonts w:ascii="Calibri" w:hAnsi="Calibri"/>
          <w:b w:val="false"/>
          <w:i w:val="false"/>
          <w:sz w:val="18"/>
        </w:rPr>
        <w:t>Built the governance framework for a team of 5 project managers (carrier integration, FR/IT/ES): milestone structure, validation gates, budget-to-delivery tracker, and formal handover protocol to logistics operations</w:t>
      </w:r>
    </w:p>
    <w:p>
      <w:pPr>
        <w:pStyle w:val="Normal"/>
        <w:spacing w:before="0" w:after="40"/>
        <w:ind w:hanging="198" w:left="227"/>
        <w:rPr/>
      </w:pPr>
      <w:r>
        <w:rPr>
          <w:rFonts w:ascii="Calibri" w:hAnsi="Calibri"/>
          <w:b w:val="false"/>
          <w:i w:val="false"/>
          <w:sz w:val="18"/>
        </w:rPr>
        <w:t xml:space="preserve">• </w:t>
      </w:r>
      <w:r>
        <w:rPr>
          <w:rFonts w:ascii="Calibri" w:hAnsi="Calibri"/>
          <w:b w:val="false"/>
          <w:i w:val="false"/>
          <w:sz w:val="18"/>
        </w:rPr>
        <w:t>Introduced PMO artifacts giving the team a shared, consistent project lifecycle — from budget approval through deliverables to operational handover</w:t>
      </w:r>
    </w:p>
    <w:p>
      <w:pPr>
        <w:pStyle w:val="Normal"/>
        <w:spacing w:before="0" w:after="40"/>
        <w:ind w:hanging="198" w:left="227"/>
        <w:rPr/>
      </w:pPr>
      <w:r>
        <w:rPr>
          <w:rFonts w:ascii="Calibri" w:hAnsi="Calibri"/>
          <w:b w:val="false"/>
          <w:i w:val="false"/>
          <w:sz w:val="18"/>
        </w:rPr>
        <w:t xml:space="preserve">• </w:t>
      </w:r>
      <w:r>
        <w:rPr>
          <w:rFonts w:ascii="Calibri" w:hAnsi="Calibri"/>
          <w:b w:val="false"/>
          <w:i w:val="false"/>
          <w:sz w:val="18"/>
        </w:rPr>
        <w:t>Coached PMs individually on project disciplines: milestone tracking, stakeholder reporting, risk escalation, delivery accountability</w:t>
      </w:r>
    </w:p>
    <w:p>
      <w:pPr>
        <w:pStyle w:val="Normal"/>
        <w:spacing w:before="0" w:after="40"/>
        <w:ind w:hanging="198" w:left="227"/>
        <w:rPr>
          <w:rFonts w:ascii="Calibri" w:hAnsi="Calibri"/>
          <w:b w:val="false"/>
          <w:i w:val="false"/>
          <w:i w:val="false"/>
          <w:sz w:val="18"/>
        </w:rPr>
      </w:pPr>
      <w:r>
        <w:rPr/>
      </w:r>
    </w:p>
    <w:p>
      <w:pPr>
        <w:pStyle w:val="Normal"/>
        <w:keepNext w:val="true"/>
        <w:tabs>
          <w:tab w:val="clear" w:pos="720"/>
          <w:tab w:val="right" w:pos="9751" w:leader="none"/>
        </w:tabs>
        <w:spacing w:before="100" w:after="20"/>
        <w:rPr/>
      </w:pPr>
      <w:r>
        <w:rPr>
          <w:rFonts w:ascii="Calibri" w:hAnsi="Calibri"/>
          <w:b/>
          <w:i w:val="false"/>
          <w:color w:val="1A3055"/>
          <w:sz w:val="19"/>
        </w:rPr>
        <w:t xml:space="preserve">Head of Last-Mile Delivery Expansion South EU  </w:t>
      </w:r>
      <w:r>
        <w:rPr>
          <w:rFonts w:ascii="Calibri" w:hAnsi="Calibri"/>
          <w:b w:val="false"/>
          <w:i/>
          <w:color w:val="555555"/>
          <w:sz w:val="19"/>
        </w:rPr>
        <w:t>— Amazon Logistics</w:t>
      </w:r>
      <w:r>
        <w:rPr>
          <w:rFonts w:ascii="Calibri" w:hAnsi="Calibri"/>
          <w:b w:val="false"/>
          <w:i w:val="false"/>
          <w:color w:val="555555"/>
          <w:sz w:val="17"/>
        </w:rPr>
        <w:tab/>
        <w:t>04/2016 – 09/2018  ·  Milan / Madrid</w:t>
      </w:r>
    </w:p>
    <w:p>
      <w:pPr>
        <w:pStyle w:val="Normal"/>
        <w:spacing w:before="0" w:after="40"/>
        <w:ind w:hanging="198" w:left="227"/>
        <w:rPr/>
      </w:pPr>
      <w:r>
        <w:rPr>
          <w:rFonts w:ascii="Calibri" w:hAnsi="Calibri"/>
          <w:b w:val="false"/>
          <w:i w:val="false"/>
          <w:sz w:val="18"/>
        </w:rPr>
        <w:t xml:space="preserve">• </w:t>
      </w:r>
      <w:r>
        <w:rPr>
          <w:rFonts w:ascii="Calibri" w:hAnsi="Calibri"/>
          <w:b w:val="false"/>
          <w:i w:val="false"/>
          <w:sz w:val="18"/>
        </w:rPr>
        <w:t>Launched **15 delivery stations in 2 years** (Italy + Spain) — embedded consistent ways of working across 5 launch managers and 19 cross-functional teams from scratch, every launch</w:t>
      </w:r>
    </w:p>
    <w:p>
      <w:pPr>
        <w:pStyle w:val="Normal"/>
        <w:spacing w:before="0" w:after="40"/>
        <w:ind w:hanging="198" w:left="227"/>
        <w:rPr/>
      </w:pPr>
      <w:r>
        <w:rPr>
          <w:rFonts w:ascii="Calibri" w:hAnsi="Calibri"/>
          <w:b w:val="false"/>
          <w:i w:val="false"/>
          <w:sz w:val="18"/>
        </w:rPr>
        <w:t xml:space="preserve">• </w:t>
      </w:r>
      <w:r>
        <w:rPr>
          <w:rFonts w:ascii="Calibri" w:hAnsi="Calibri"/>
          <w:b w:val="false"/>
          <w:i w:val="false"/>
          <w:sz w:val="18"/>
        </w:rPr>
        <w:t>Created the AMZL Launch Playbook — governance artifact standardizing EU station launches; deployed across EMEA</w:t>
      </w:r>
    </w:p>
    <w:p>
      <w:pPr>
        <w:pStyle w:val="Normal"/>
        <w:spacing w:before="0" w:after="40"/>
        <w:ind w:hanging="198" w:left="227"/>
        <w:rPr/>
      </w:pPr>
      <w:r>
        <w:rPr>
          <w:rFonts w:ascii="Calibri" w:hAnsi="Calibri"/>
          <w:b w:val="false"/>
          <w:i w:val="false"/>
          <w:sz w:val="18"/>
        </w:rPr>
        <w:t xml:space="preserve">• </w:t>
      </w:r>
      <w:r>
        <w:rPr>
          <w:rFonts w:ascii="Calibri" w:hAnsi="Calibri"/>
          <w:b w:val="false"/>
          <w:i w:val="false"/>
          <w:sz w:val="18"/>
        </w:rPr>
        <w:t>Coached launch managers through repeated high-stakes launches, building project governance capabilities under peak deadlines</w:t>
      </w:r>
    </w:p>
    <w:p>
      <w:pPr>
        <w:pStyle w:val="Normal"/>
        <w:spacing w:before="0" w:after="40"/>
        <w:ind w:hanging="198" w:left="227"/>
        <w:rPr>
          <w:rFonts w:ascii="Calibri" w:hAnsi="Calibri"/>
          <w:b w:val="false"/>
          <w:i w:val="false"/>
          <w:i w:val="false"/>
          <w:sz w:val="18"/>
        </w:rPr>
      </w:pPr>
      <w:r>
        <w:rPr/>
      </w:r>
    </w:p>
    <w:p>
      <w:pPr>
        <w:pStyle w:val="Normal"/>
        <w:keepNext w:val="true"/>
        <w:tabs>
          <w:tab w:val="clear" w:pos="720"/>
          <w:tab w:val="right" w:pos="9751" w:leader="none"/>
        </w:tabs>
        <w:spacing w:before="100" w:after="20"/>
        <w:rPr/>
      </w:pPr>
      <w:r>
        <w:rPr>
          <w:rFonts w:ascii="Calibri" w:hAnsi="Calibri"/>
          <w:b/>
          <w:i w:val="false"/>
          <w:color w:val="1A3055"/>
          <w:sz w:val="19"/>
        </w:rPr>
        <w:t xml:space="preserve">Director of Expansion  </w:t>
      </w:r>
      <w:r>
        <w:rPr>
          <w:rFonts w:ascii="Calibri" w:hAnsi="Calibri"/>
          <w:b w:val="false"/>
          <w:i/>
          <w:color w:val="555555"/>
          <w:sz w:val="19"/>
        </w:rPr>
        <w:t>— Infarm</w:t>
      </w:r>
      <w:r>
        <w:rPr>
          <w:rFonts w:ascii="Calibri" w:hAnsi="Calibri"/>
          <w:b w:val="false"/>
          <w:i w:val="false"/>
          <w:color w:val="555555"/>
          <w:sz w:val="17"/>
        </w:rPr>
        <w:tab/>
        <w:t>06/2021 – 07/2022  ·  Berlin</w:t>
      </w:r>
    </w:p>
    <w:p>
      <w:pPr>
        <w:pStyle w:val="Normal"/>
        <w:spacing w:before="0" w:after="40"/>
        <w:rPr/>
      </w:pPr>
      <w:r>
        <w:rPr>
          <w:rFonts w:ascii="Calibri" w:hAnsi="Calibri"/>
          <w:b w:val="false"/>
          <w:i/>
          <w:color w:val="555555"/>
          <w:sz w:val="17"/>
        </w:rPr>
        <w:t>€</w:t>
      </w:r>
      <w:r>
        <w:rPr>
          <w:rFonts w:ascii="Calibri" w:hAnsi="Calibri"/>
          <w:b w:val="false"/>
          <w:i/>
          <w:color w:val="555555"/>
          <w:sz w:val="17"/>
        </w:rPr>
        <w:t>72M CAPEX  ·  16 engineers and technicians  ·  4 EU countries</w:t>
      </w:r>
    </w:p>
    <w:p>
      <w:pPr>
        <w:pStyle w:val="Normal"/>
        <w:spacing w:before="0" w:after="40"/>
        <w:ind w:hanging="198" w:left="227"/>
        <w:rPr/>
      </w:pPr>
      <w:r>
        <w:rPr>
          <w:rFonts w:ascii="Calibri" w:hAnsi="Calibri"/>
          <w:b w:val="false"/>
          <w:i w:val="false"/>
          <w:sz w:val="18"/>
        </w:rPr>
        <w:t xml:space="preserve">• </w:t>
      </w:r>
      <w:r>
        <w:rPr>
          <w:rFonts w:ascii="Calibri" w:hAnsi="Calibri"/>
          <w:b w:val="false"/>
          <w:i w:val="false"/>
          <w:sz w:val="18"/>
        </w:rPr>
        <w:t>Led 16 engineers through aggressive pan-European scaling (DE, UK, DK, FR) — embedded structured project tracking, data-driven decision processes, and consistent governance routines where none had been formalised</w:t>
      </w:r>
    </w:p>
    <w:p>
      <w:pPr>
        <w:pStyle w:val="Normal"/>
        <w:spacing w:before="0" w:after="40"/>
        <w:ind w:hanging="198" w:left="227"/>
        <w:rPr/>
      </w:pPr>
      <w:r>
        <w:rPr>
          <w:rFonts w:ascii="Calibri" w:hAnsi="Calibri"/>
          <w:b w:val="false"/>
          <w:i w:val="false"/>
          <w:sz w:val="18"/>
        </w:rPr>
        <w:t xml:space="preserve">• </w:t>
      </w:r>
      <w:r>
        <w:rPr>
          <w:rFonts w:ascii="Calibri" w:hAnsi="Calibri"/>
          <w:b w:val="false"/>
          <w:i w:val="false"/>
          <w:sz w:val="18"/>
        </w:rPr>
        <w:t>Conducted structured training and mentoring to elevate team capabilities and embed consistent ways of working at pace</w:t>
      </w:r>
    </w:p>
    <w:p>
      <w:pPr>
        <w:pStyle w:val="Normal"/>
        <w:spacing w:before="0" w:after="40"/>
        <w:ind w:hanging="198" w:left="227"/>
        <w:rPr>
          <w:rFonts w:ascii="Calibri" w:hAnsi="Calibri"/>
          <w:b w:val="false"/>
          <w:i w:val="false"/>
          <w:i w:val="false"/>
          <w:sz w:val="18"/>
        </w:rPr>
      </w:pPr>
      <w:r>
        <w:rPr/>
      </w:r>
    </w:p>
    <w:p>
      <w:pPr>
        <w:pStyle w:val="Normal"/>
        <w:keepNext w:val="true"/>
        <w:tabs>
          <w:tab w:val="clear" w:pos="720"/>
          <w:tab w:val="right" w:pos="9751" w:leader="none"/>
        </w:tabs>
        <w:spacing w:before="100" w:after="20"/>
        <w:rPr/>
      </w:pPr>
      <w:r>
        <w:rPr>
          <w:rFonts w:ascii="Calibri" w:hAnsi="Calibri"/>
          <w:b/>
          <w:i w:val="false"/>
          <w:color w:val="1A3055"/>
          <w:sz w:val="19"/>
        </w:rPr>
        <w:t xml:space="preserve">Senior Manager, SC Long-term Planning &amp; Risk  </w:t>
      </w:r>
      <w:r>
        <w:rPr>
          <w:rFonts w:ascii="Calibri" w:hAnsi="Calibri"/>
          <w:b w:val="false"/>
          <w:i/>
          <w:color w:val="555555"/>
          <w:sz w:val="19"/>
        </w:rPr>
        <w:t>— Amazon EU</w:t>
      </w:r>
      <w:r>
        <w:rPr>
          <w:rFonts w:ascii="Calibri" w:hAnsi="Calibri"/>
          <w:b w:val="false"/>
          <w:i w:val="false"/>
          <w:color w:val="555555"/>
          <w:sz w:val="17"/>
        </w:rPr>
        <w:tab/>
        <w:t>08/2022 – 07/2023  ·  Luxembourg (Remote)</w:t>
      </w:r>
    </w:p>
    <w:p>
      <w:pPr>
        <w:pStyle w:val="Normal"/>
        <w:spacing w:before="0" w:after="40"/>
        <w:ind w:hanging="198" w:left="227"/>
        <w:rPr/>
      </w:pPr>
      <w:r>
        <w:rPr>
          <w:rFonts w:ascii="Calibri" w:hAnsi="Calibri"/>
          <w:b w:val="false"/>
          <w:i w:val="false"/>
          <w:sz w:val="18"/>
        </w:rPr>
        <w:t xml:space="preserve">• </w:t>
      </w:r>
      <w:r>
        <w:rPr>
          <w:rFonts w:ascii="Calibri" w:hAnsi="Calibri"/>
          <w:b w:val="false"/>
          <w:i w:val="false"/>
          <w:sz w:val="18"/>
        </w:rPr>
        <w:t>Defined Amazon EU Supply Chain expansion SOP (36-month horizon) — governance document structuring decisions for 80+ buildings across Europe</w:t>
      </w:r>
    </w:p>
    <w:p>
      <w:pPr>
        <w:pStyle w:val="Normal"/>
        <w:spacing w:before="0" w:after="40"/>
        <w:ind w:hanging="198" w:left="227"/>
        <w:rPr>
          <w:rFonts w:ascii="Calibri" w:hAnsi="Calibri"/>
          <w:b w:val="false"/>
          <w:i w:val="false"/>
          <w:i w:val="false"/>
          <w:color w:val="1A3055"/>
          <w:sz w:val="18"/>
        </w:rPr>
      </w:pPr>
      <w:r>
        <w:rPr/>
      </w:r>
    </w:p>
    <w:p>
      <w:pPr>
        <w:pStyle w:val="Normal"/>
        <w:keepNext w:val="true"/>
        <w:pBdr>
          <w:bottom w:val="single" w:sz="12" w:space="1" w:color="1A3055"/>
        </w:pBdr>
        <w:spacing w:before="120" w:after="60"/>
        <w:rPr>
          <w:rFonts w:ascii="Calibri" w:hAnsi="Calibri"/>
          <w:b/>
          <w:i w:val="false"/>
          <w:i w:val="false"/>
          <w:color w:val="1A3055"/>
          <w:sz w:val="18"/>
        </w:rPr>
      </w:pPr>
      <w:r>
        <w:rPr>
          <w:rFonts w:ascii="Calibri" w:hAnsi="Calibri"/>
          <w:b/>
          <w:i w:val="false"/>
          <w:color w:val="1A3055"/>
          <w:sz w:val="18"/>
        </w:rPr>
        <w:t>EARLIER EXPERIENCE (2002–2014)</w:t>
      </w:r>
    </w:p>
    <w:p>
      <w:pPr>
        <w:pStyle w:val="Normal"/>
        <w:spacing w:before="40" w:after="40"/>
        <w:ind w:hanging="198" w:left="227"/>
        <w:rPr/>
      </w:pPr>
      <w:r>
        <w:rPr>
          <w:rFonts w:ascii="Calibri" w:hAnsi="Calibri"/>
          <w:b w:val="false"/>
          <w:i w:val="false"/>
          <w:sz w:val="18"/>
        </w:rPr>
        <w:t xml:space="preserve">• </w:t>
      </w:r>
      <w:r>
        <w:rPr>
          <w:rFonts w:ascii="Calibri" w:hAnsi="Calibri"/>
          <w:b/>
          <w:i w:val="false"/>
          <w:color w:val="1A3055"/>
          <w:sz w:val="18"/>
        </w:rPr>
        <w:t xml:space="preserve">ColdEnergy France </w:t>
      </w:r>
      <w:r>
        <w:rPr>
          <w:rFonts w:ascii="Calibri" w:hAnsi="Calibri"/>
          <w:b w:val="false"/>
          <w:i w:val="false"/>
          <w:color w:val="555555"/>
          <w:sz w:val="18"/>
        </w:rPr>
        <w:t xml:space="preserve">(Owner, 2012–2014)  — </w:t>
      </w:r>
      <w:r>
        <w:rPr>
          <w:rFonts w:ascii="Calibri" w:hAnsi="Calibri"/>
          <w:b w:val="false"/>
          <w:i w:val="false"/>
          <w:sz w:val="18"/>
        </w:rPr>
        <w:t>Project management of refrigerated logistics platforms for Dole, Fruidor, Lidl Austria (EMEA). €2M revenue.</w:t>
      </w:r>
    </w:p>
    <w:p>
      <w:pPr>
        <w:pStyle w:val="Normal"/>
        <w:spacing w:before="40" w:after="40"/>
        <w:ind w:hanging="198" w:left="227"/>
        <w:rPr/>
      </w:pPr>
      <w:r>
        <w:rPr>
          <w:rFonts w:ascii="Calibri" w:hAnsi="Calibri"/>
          <w:b w:val="false"/>
          <w:i w:val="false"/>
          <w:sz w:val="18"/>
        </w:rPr>
        <w:t xml:space="preserve">• </w:t>
      </w:r>
      <w:r>
        <w:rPr>
          <w:rFonts w:ascii="Calibri" w:hAnsi="Calibri"/>
          <w:b/>
          <w:i w:val="false"/>
          <w:color w:val="1A3055"/>
          <w:sz w:val="18"/>
        </w:rPr>
        <w:t xml:space="preserve">Dole Europe </w:t>
      </w:r>
      <w:r>
        <w:rPr>
          <w:rFonts w:ascii="Calibri" w:hAnsi="Calibri"/>
          <w:b w:val="false"/>
          <w:i w:val="false"/>
          <w:color w:val="555555"/>
          <w:sz w:val="18"/>
        </w:rPr>
        <w:t xml:space="preserve">(Corporate Controller + SC Manager, 2007–2012)  — </w:t>
      </w:r>
      <w:r>
        <w:rPr>
          <w:rFonts w:ascii="Calibri" w:hAnsi="Calibri"/>
          <w:b w:val="false"/>
          <w:i w:val="false"/>
          <w:sz w:val="18"/>
        </w:rPr>
        <w:t>€30–100M/year industrial investment portfolio; 5-site restructuring Romania</w:t>
      </w:r>
    </w:p>
    <w:p>
      <w:pPr>
        <w:pStyle w:val="Normal"/>
        <w:spacing w:before="40" w:after="40"/>
        <w:ind w:hanging="198" w:left="227"/>
        <w:rPr/>
      </w:pPr>
      <w:r>
        <w:rPr>
          <w:rFonts w:ascii="Calibri" w:hAnsi="Calibri"/>
          <w:b w:val="false"/>
          <w:i w:val="false"/>
          <w:sz w:val="18"/>
        </w:rPr>
        <w:t xml:space="preserve">• </w:t>
      </w:r>
      <w:r>
        <w:rPr>
          <w:rFonts w:ascii="Calibri" w:hAnsi="Calibri"/>
          <w:b/>
          <w:i w:val="false"/>
          <w:color w:val="1A3055"/>
          <w:sz w:val="18"/>
        </w:rPr>
        <w:t xml:space="preserve">Pomona </w:t>
      </w:r>
      <w:r>
        <w:rPr>
          <w:rFonts w:ascii="Calibri" w:hAnsi="Calibri"/>
          <w:b w:val="false"/>
          <w:i w:val="false"/>
          <w:color w:val="555555"/>
          <w:sz w:val="18"/>
        </w:rPr>
        <w:t>(</w:t>
      </w:r>
      <w:r>
        <w:rPr>
          <w:rFonts w:ascii="Calibri" w:hAnsi="Calibri"/>
          <w:b w:val="false"/>
          <w:i w:val="false"/>
          <w:color w:val="555555"/>
          <w:sz w:val="18"/>
        </w:rPr>
        <w:t>Fresh and frozen goods Logistics</w:t>
      </w:r>
      <w:r>
        <w:rPr>
          <w:rFonts w:ascii="Calibri" w:hAnsi="Calibri"/>
          <w:b w:val="false"/>
          <w:i w:val="false"/>
          <w:color w:val="555555"/>
          <w:sz w:val="18"/>
        </w:rPr>
        <w:t xml:space="preserve"> Project Manager, 2002–2005)  — </w:t>
      </w:r>
      <w:r>
        <w:rPr>
          <w:rFonts w:ascii="Calibri" w:hAnsi="Calibri"/>
          <w:b w:val="false"/>
          <w:i w:val="false"/>
          <w:sz w:val="18"/>
        </w:rPr>
        <w:t>ERP deployment, 600 trucks; warehouse governance standards; +25% productivity</w:t>
      </w:r>
    </w:p>
    <w:p>
      <w:pPr>
        <w:pStyle w:val="Normal"/>
        <w:spacing w:before="40" w:after="40"/>
        <w:ind w:hanging="198" w:left="227"/>
        <w:rPr>
          <w:rFonts w:ascii="Calibri" w:hAnsi="Calibri"/>
          <w:b w:val="false"/>
          <w:i w:val="false"/>
          <w:i w:val="false"/>
          <w:color w:val="1A3055"/>
          <w:sz w:val="18"/>
        </w:rPr>
      </w:pPr>
      <w:r>
        <w:rPr/>
      </w:r>
    </w:p>
    <w:p>
      <w:pPr>
        <w:pStyle w:val="Normal"/>
        <w:keepNext w:val="true"/>
        <w:pBdr>
          <w:bottom w:val="single" w:sz="12" w:space="1" w:color="1A3055"/>
        </w:pBdr>
        <w:spacing w:before="120" w:after="60"/>
        <w:rPr/>
      </w:pPr>
      <w:r>
        <w:rPr>
          <w:rFonts w:ascii="Calibri" w:hAnsi="Calibri"/>
          <w:b/>
          <w:i w:val="false"/>
          <w:color w:val="1A3055"/>
          <w:sz w:val="18"/>
        </w:rPr>
        <w:t>EDUCATION</w:t>
      </w:r>
    </w:p>
    <w:p>
      <w:pPr>
        <w:pStyle w:val="Normal"/>
        <w:spacing w:before="40" w:after="40"/>
        <w:rPr/>
      </w:pPr>
      <w:r>
        <w:rPr>
          <w:rFonts w:ascii="Calibri" w:hAnsi="Calibri"/>
          <w:b/>
          <w:i w:val="false"/>
          <w:color w:val="1A3055"/>
          <w:sz w:val="18"/>
        </w:rPr>
        <w:t xml:space="preserve">Agricultural Engineer (MSc)  </w:t>
      </w:r>
      <w:r>
        <w:rPr>
          <w:rFonts w:ascii="Calibri" w:hAnsi="Calibri"/>
          <w:b w:val="false"/>
          <w:i w:val="false"/>
          <w:color w:val="222222"/>
          <w:sz w:val="18"/>
        </w:rPr>
        <w:t>— INP Toulouse, 1991–1994 · Economics &amp; Agribusiness Management</w:t>
      </w:r>
    </w:p>
    <w:p>
      <w:pPr>
        <w:pStyle w:val="Normal"/>
        <w:spacing w:before="40" w:after="40"/>
        <w:rPr/>
      </w:pPr>
      <w:r>
        <w:rPr>
          <w:rFonts w:ascii="Calibri" w:hAnsi="Calibri"/>
          <w:b/>
          <w:i w:val="false"/>
          <w:color w:val="1A3055"/>
          <w:sz w:val="18"/>
        </w:rPr>
        <w:t xml:space="preserve">Biochemistry / Chemistry  </w:t>
      </w:r>
      <w:r>
        <w:rPr>
          <w:rFonts w:ascii="Calibri" w:hAnsi="Calibri"/>
          <w:b w:val="false"/>
          <w:i w:val="false"/>
          <w:color w:val="222222"/>
          <w:sz w:val="18"/>
        </w:rPr>
        <w:t>— Université des Sciences, Montpellier, 1989–1991</w:t>
      </w:r>
    </w:p>
    <w:p>
      <w:pPr>
        <w:pStyle w:val="Normal"/>
        <w:spacing w:before="40" w:after="40"/>
        <w:rPr>
          <w:rFonts w:ascii="Calibri" w:hAnsi="Calibri"/>
          <w:b w:val="false"/>
          <w:i w:val="false"/>
          <w:i w:val="false"/>
          <w:color w:val="222222"/>
          <w:sz w:val="18"/>
        </w:rPr>
      </w:pPr>
      <w:r>
        <w:rPr/>
      </w:r>
    </w:p>
    <w:p>
      <w:pPr>
        <w:pStyle w:val="Normal"/>
        <w:keepNext w:val="true"/>
        <w:pBdr>
          <w:bottom w:val="single" w:sz="12" w:space="1" w:color="1A3055"/>
        </w:pBdr>
        <w:spacing w:before="120" w:after="60"/>
        <w:rPr/>
      </w:pPr>
      <w:r>
        <w:rPr>
          <w:rFonts w:ascii="Calibri" w:hAnsi="Calibri"/>
          <w:b/>
          <w:i w:val="false"/>
          <w:color w:val="1A3055"/>
          <w:sz w:val="18"/>
        </w:rPr>
        <w:t>LANGUAGES &amp; INTERNATIONAL BACKGROUND</w:t>
      </w:r>
    </w:p>
    <w:p>
      <w:pPr>
        <w:pStyle w:val="Normal"/>
        <w:spacing w:before="40" w:after="40"/>
        <w:rPr/>
      </w:pPr>
      <w:r>
        <w:rPr>
          <w:rFonts w:ascii="Calibri" w:hAnsi="Calibri"/>
          <w:b/>
          <w:i w:val="false"/>
          <w:color w:val="1A3055"/>
          <w:sz w:val="18"/>
        </w:rPr>
        <w:t>French</w:t>
      </w:r>
      <w:r>
        <w:rPr>
          <w:rFonts w:ascii="Calibri" w:hAnsi="Calibri"/>
          <w:b w:val="false"/>
          <w:i w:val="false"/>
          <w:color w:val="222222"/>
          <w:sz w:val="18"/>
        </w:rPr>
        <w:t xml:space="preserve"> (native)  ·  </w:t>
      </w:r>
      <w:r>
        <w:rPr>
          <w:rFonts w:ascii="Calibri" w:hAnsi="Calibri"/>
          <w:b/>
          <w:i w:val="false"/>
          <w:color w:val="1A3055"/>
          <w:sz w:val="18"/>
        </w:rPr>
        <w:t>English</w:t>
      </w:r>
      <w:r>
        <w:rPr>
          <w:rFonts w:ascii="Calibri" w:hAnsi="Calibri"/>
          <w:b w:val="false"/>
          <w:i w:val="false"/>
          <w:color w:val="222222"/>
          <w:sz w:val="18"/>
        </w:rPr>
        <w:t xml:space="preserve"> (C2 / fluent)  ·  </w:t>
      </w:r>
      <w:r>
        <w:rPr>
          <w:rFonts w:ascii="Calibri" w:hAnsi="Calibri"/>
          <w:b/>
          <w:i w:val="false"/>
          <w:color w:val="1A3055"/>
          <w:sz w:val="18"/>
        </w:rPr>
        <w:t>Spanish</w:t>
      </w:r>
      <w:r>
        <w:rPr>
          <w:rFonts w:ascii="Calibri" w:hAnsi="Calibri"/>
          <w:b w:val="false"/>
          <w:i w:val="false"/>
          <w:color w:val="222222"/>
          <w:sz w:val="18"/>
        </w:rPr>
        <w:t xml:space="preserve"> (C2 / fluent)</w:t>
      </w:r>
    </w:p>
    <w:p>
      <w:pPr>
        <w:pStyle w:val="Normal"/>
        <w:spacing w:before="20" w:after="0"/>
        <w:rPr/>
      </w:pPr>
      <w:r>
        <w:rPr>
          <w:rFonts w:ascii="Calibri" w:hAnsi="Calibri"/>
          <w:b w:val="false"/>
          <w:i w:val="false"/>
          <w:sz w:val="18"/>
        </w:rPr>
        <w:t xml:space="preserve">24 years of international residency across 6 countries. </w:t>
      </w:r>
    </w:p>
    <w:p>
      <w:pPr>
        <w:pStyle w:val="Normal"/>
        <w:spacing w:before="20" w:after="0"/>
        <w:rPr/>
      </w:pPr>
      <w:r>
        <w:rPr>
          <w:rFonts w:ascii="Calibri" w:hAnsi="Calibri"/>
          <w:b w:val="false"/>
          <w:i/>
          <w:sz w:val="18"/>
        </w:rPr>
        <w:t>"Multi-cultural and multi-lingual with excellent cross-cultural ability"</w:t>
      </w:r>
      <w:r>
        <w:rPr>
          <w:rFonts w:ascii="Calibri" w:hAnsi="Calibri"/>
          <w:b w:val="false"/>
          <w:i w:val="false"/>
          <w:sz w:val="18"/>
        </w:rPr>
        <w:t xml:space="preserve"> — Amazon </w:t>
      </w:r>
      <w:r>
        <w:rPr>
          <w:rFonts w:ascii="Calibri" w:hAnsi="Calibri"/>
          <w:b w:val="false"/>
          <w:i w:val="false"/>
          <w:sz w:val="18"/>
        </w:rPr>
        <w:t>Annual review</w:t>
      </w:r>
      <w:r>
        <w:rPr>
          <w:rFonts w:ascii="Calibri" w:hAnsi="Calibri"/>
          <w:b w:val="false"/>
          <w:i w:val="false"/>
          <w:sz w:val="18"/>
        </w:rPr>
        <w:t xml:space="preserve"> 2020.</w:t>
      </w:r>
    </w:p>
    <w:sectPr>
      <w:type w:val="nextPage"/>
      <w:pgSz w:w="12240" w:h="15840"/>
      <w:pgMar w:left="850" w:right="850" w:gutter="0" w:header="0" w:top="886" w:footer="0" w:bottom="56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Application>LibreOffice/24.2.7.2$Linux_X86_64 LibreOffice_project/420$Build-2</Application>
  <AppVersion>15.0000</AppVersion>
  <Pages>2</Pages>
  <Words>816</Words>
  <Characters>5067</Characters>
  <CharactersWithSpaces>5918</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fr-FR</dc:language>
  <cp:lastModifiedBy/>
  <dcterms:modified xsi:type="dcterms:W3CDTF">2026-06-01T18:25:17Z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