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ver_letter"/>
    <w:p>
      <w:pPr>
        <w:pStyle w:val="Heading1"/>
      </w:pPr>
      <w:r>
        <w:t xml:space="preserve">cover_letter</w:t>
      </w:r>
    </w:p>
    <w:bookmarkStart w:id="20" w:name="subject"/>
    <w:p>
      <w:pPr>
        <w:pStyle w:val="Heading2"/>
      </w:pPr>
      <w:r>
        <w:t xml:space="preserve">Subject</w:t>
      </w:r>
    </w:p>
    <w:p>
      <w:pPr>
        <w:pStyle w:val="FirstParagraph"/>
      </w:pPr>
      <w:r>
        <w:t xml:space="preserve">Planning and Logistics Operations Manager - Fabrice Rimlinger</w:t>
      </w:r>
    </w:p>
    <w:bookmarkEnd w:id="20"/>
    <w:bookmarkStart w:id="21" w:name="letter"/>
    <w:p>
      <w:pPr>
        <w:pStyle w:val="Heading2"/>
      </w:pPr>
      <w:r>
        <w:t xml:space="preserve">Letter</w:t>
      </w:r>
    </w:p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I’m applying for the Planning and Logistics Operations Manager role opening after the Ocean and Optimum integration. I’ve spent 20 years building operating models and leading post-acquisition integrations across fleet and last-mile logistics in EMEA, and Shiftmove’s situation right now is close to home.</w:t>
      </w:r>
    </w:p>
    <w:p>
      <w:pPr>
        <w:pStyle w:val="BodyText"/>
      </w:pPr>
      <w:r>
        <w:t xml:space="preserve">Unifying two acquired French businesses into one operating model is exactly what I led at Colis Privé, where I integrated 300 employees while keeping 250,000 deliveries a day running without interruption. Owning Praxedo’s rollout as your field-ops standard is also familiar ground: at Amazon I was business owner of SHIELD, the platform used to track and document capital investment projects worldwide, end to end from requirements through adoption. And before that, at Pomona, I deployed GPS and telematics across a 600-vehicle fleet, so I’ve lived the spreadsheet pain your product replaces, and I know how to turn that shift into numbers a board believes: 40% fewer manual tasks, €550K a year saved, tracked through KPI frameworks I built myself.</w:t>
      </w:r>
    </w:p>
    <w:p>
      <w:pPr>
        <w:pStyle w:val="BodyText"/>
      </w:pPr>
      <w:r>
        <w:t xml:space="preserve">Scaling to 1 million vehicles by 2027 is the right-sized problem for this kind of work, and I’d welcome the chance to talk through how I’d approach the unified operating model and Praxedo’s rollout across France.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Fabrice Rimlinger</w:t>
      </w:r>
      <w:r>
        <w:t xml:space="preserve"> </w:t>
      </w:r>
      <w:r>
        <w:t xml:space="preserve">fabrice@rimlinger.eu - +33 6 23 57 77 85 - linkedin.com/in/fabricerimlinger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2026-07-29T14:15:19Z</dcterms:created>
  <dcterms:modified xsi:type="dcterms:W3CDTF">2026-07-29T14:15:19Z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