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EEAF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u w:val="single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u w:val="single"/>
          <w:lang w:eastAsia="en-GB"/>
          <w14:ligatures w14:val="none"/>
        </w:rPr>
        <w:t xml:space="preserve">External Role profile </w:t>
      </w:r>
    </w:p>
    <w:p w14:paraId="5283A405" w14:textId="6C6F95A8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 xml:space="preserve">Portfolio Manager – Technology / Change &amp; Transformation </w:t>
      </w:r>
    </w:p>
    <w:p w14:paraId="1F383CB8" w14:textId="69984A34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We’re looking for a Portfolio Manager to lead a portfolio of technology change initiatives in a regulated pharma services logistics and distribution environment. You will drive robust governance, prioritisation, delivery assurance and benefits realisation across countries and sites, supporting multi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million € revenue growth while protecting compliance and operational performance.</w:t>
      </w:r>
    </w:p>
    <w:p w14:paraId="4B7E1DB5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What you’ll do</w:t>
      </w:r>
    </w:p>
    <w:p w14:paraId="404691CE" w14:textId="273EF952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Run portfolio governance (SteerCo cadence), decision logs, stage gates and reporting.</w:t>
      </w:r>
    </w:p>
    <w:p w14:paraId="6E5458A3" w14:textId="77777777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Manage demand intake, business case quality, prioritisation and portfolio shaping.</w:t>
      </w:r>
    </w:p>
    <w:p w14:paraId="34D94606" w14:textId="77777777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 portfolio budgeting/forecasting (CapEx/OpEx), variance management and investment governance support.</w:t>
      </w:r>
    </w:p>
    <w:p w14:paraId="0E6021BC" w14:textId="7F018C51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Support the track benefits realisation (revenue growth and margin protection) through go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live and post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implementation.</w:t>
      </w:r>
    </w:p>
    <w:p w14:paraId="18FADCB3" w14:textId="79710518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Drive portfolio-level RAID and dependency management across IT, Operations, Quality, Finance, and customers.</w:t>
      </w:r>
    </w:p>
    <w:p w14:paraId="6AF189BB" w14:textId="77777777" w:rsidR="00AF7AFA" w:rsidRPr="009F0689" w:rsidRDefault="00AF7AFA" w:rsidP="00AF7AF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Ensure regulated delivery readiness (QMS controls, audit trail, validation thinking where applicable).</w:t>
      </w:r>
    </w:p>
    <w:p w14:paraId="4F3DA872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What you’ll bring</w:t>
      </w:r>
    </w:p>
    <w:p w14:paraId="0B73EB45" w14:textId="77777777" w:rsidR="00AF7AFA" w:rsidRPr="009F0689" w:rsidRDefault="00AF7AFA" w:rsidP="00AF7A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Strong traditional PMO / portfolio or programme leadership experience, ideally in regulated environments (pharma supply chain, healthcare logistics, 3PL or similar).</w:t>
      </w:r>
    </w:p>
    <w:p w14:paraId="79155EF9" w14:textId="77777777" w:rsidR="00AF7AFA" w:rsidRPr="009F0689" w:rsidRDefault="00AF7AFA" w:rsidP="00AF7A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Proven pan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European, cross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site stakeholder management and executive-level reporting.</w:t>
      </w:r>
    </w:p>
    <w:p w14:paraId="43E97D67" w14:textId="77777777" w:rsidR="00AF7AFA" w:rsidRPr="009F0689" w:rsidRDefault="00AF7AFA" w:rsidP="00AF7A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Financial governance skills (budgeting, forecasting, EAC, business case oversight).</w:t>
      </w:r>
    </w:p>
    <w:p w14:paraId="6F7CB780" w14:textId="77777777" w:rsidR="00AF7AFA" w:rsidRPr="009F0689" w:rsidRDefault="00AF7AFA" w:rsidP="00AF7A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Confidence in integration-heavy change (e.g., WMS/TMS/ERP, EDI/API) and multi-vendor delivery (preferred).</w:t>
      </w:r>
    </w:p>
    <w:p w14:paraId="1E989699" w14:textId="77777777" w:rsidR="00AF7AFA" w:rsidRPr="009F0689" w:rsidRDefault="00AF7AFA" w:rsidP="00AF7A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Certifications such as PMP/PRINCE2/MSP/PfMP/ITIL are beneficial.</w:t>
      </w:r>
    </w:p>
    <w:p w14:paraId="5ED6310A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What we offer</w:t>
      </w:r>
    </w:p>
    <w:p w14:paraId="5A243515" w14:textId="77777777" w:rsidR="00AF7AFA" w:rsidRPr="009F0689" w:rsidRDefault="00AF7AFA" w:rsidP="00AF7A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High-impact role with pan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European scope and direct linkage to growth outcomes.</w:t>
      </w:r>
    </w:p>
    <w:p w14:paraId="3A154869" w14:textId="77777777" w:rsidR="00AF7AFA" w:rsidRPr="009F0689" w:rsidRDefault="00AF7AFA" w:rsidP="00AF7A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Collaborative environment across Operations, IT, Quality and Commercial.</w:t>
      </w:r>
    </w:p>
    <w:p w14:paraId="5D87BF8E" w14:textId="77777777" w:rsidR="00AF7AFA" w:rsidRPr="009F0689" w:rsidRDefault="00AF7AFA" w:rsidP="00AF7AF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Salary: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[€XX,XXX – €XX,XXX]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 +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[bonus %]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 +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[benefits]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br/>
        <w:t>Location: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[City/Country / Hybrid]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 | Travel: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[X%]</w:t>
      </w:r>
    </w:p>
    <w:p w14:paraId="3BCC9B81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Apply with your CV and a brief note on relevant portfolio size, regulated experience, and cross-country delivery.</w:t>
      </w:r>
    </w:p>
    <w:p w14:paraId="33767370" w14:textId="6C7A5160" w:rsidR="00AF7AFA" w:rsidRPr="009F0689" w:rsidRDefault="00AF7AFA">
      <w:pP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F068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br w:type="page"/>
      </w:r>
    </w:p>
    <w:p w14:paraId="2B90C07E" w14:textId="77777777" w:rsidR="00AF7AFA" w:rsidRPr="009F0689" w:rsidRDefault="00AF7AFA" w:rsidP="00AF7AF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</w:p>
    <w:p w14:paraId="0CC8A09C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u w:val="single"/>
          <w:lang w:eastAsia="en-GB"/>
          <w14:ligatures w14:val="none"/>
        </w:rPr>
        <w:t>Internal role profile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 xml:space="preserve"> </w:t>
      </w:r>
    </w:p>
    <w:p w14:paraId="623765C7" w14:textId="5D1E4132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Portfolio Manager vs Senior Portfolio Manager</w:t>
      </w:r>
    </w:p>
    <w:p w14:paraId="0248782F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Role title</w:t>
      </w:r>
    </w:p>
    <w:p w14:paraId="31376457" w14:textId="67FB42FF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Technology / Change &amp; Transformation Portfolio Manager (Traditional PMO)</w:t>
      </w:r>
    </w:p>
    <w:p w14:paraId="3511191A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Function</w:t>
      </w:r>
    </w:p>
    <w:p w14:paraId="6BFCCD77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PMO / Transformation Office (matrixed across IT, Operations, Quality, Finance, Commercial)</w:t>
      </w:r>
    </w:p>
    <w:p w14:paraId="5C6331F5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Role purpose</w:t>
      </w:r>
    </w:p>
    <w:p w14:paraId="64807B37" w14:textId="0C3FA5A0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 and manage a pan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European portfolio of technology and transformation initiatives to maximise value, ensure predictable delivery through traditional PMO stage-gate governance, and maintain audit-ready compliance in a regulated operating environment. Drive measurable benefits realisation, including multi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million € revenue growth and margin/cost-to-serve outcomes.</w:t>
      </w:r>
    </w:p>
    <w:p w14:paraId="3003C672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Scope / portfolio characteristics (typical)</w:t>
      </w:r>
    </w:p>
    <w:p w14:paraId="1BE0D89C" w14:textId="77777777" w:rsidR="00AF7AFA" w:rsidRPr="009F0689" w:rsidRDefault="00AF7AFA" w:rsidP="00AF7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Multi-country, multi-site portfolio with shared SMEs and competing priorities</w:t>
      </w:r>
    </w:p>
    <w:p w14:paraId="1BE2A04E" w14:textId="77777777" w:rsidR="00AF7AFA" w:rsidRPr="009F0689" w:rsidRDefault="00AF7AFA" w:rsidP="00AF7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Customer onboarding/growth, WMS/TMS/OMS enhancements, automation/capacity, compliance remediation, cyber resilience, data/reporting</w:t>
      </w:r>
    </w:p>
    <w:p w14:paraId="602C9CB0" w14:textId="77777777" w:rsidR="00AF7AFA" w:rsidRPr="009F0689" w:rsidRDefault="00AF7AFA" w:rsidP="00AF7A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Cross-functional delivery involving vendors and external partners (carriers/3PLs/customers)</w:t>
      </w:r>
    </w:p>
    <w:p w14:paraId="2A83E94D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7"/>
          <w:szCs w:val="27"/>
          <w:lang w:eastAsia="en-GB"/>
          <w14:ligatures w14:val="none"/>
        </w:rPr>
        <w:t>Key accountabilities (both levels)</w:t>
      </w:r>
    </w:p>
    <w:p w14:paraId="2199EEE4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Governance &amp; controls</w:t>
      </w:r>
    </w:p>
    <w:p w14:paraId="296E51FC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 governance cadence, stage gates, decision log, escalation path, portfolio RACI.</w:t>
      </w:r>
    </w:p>
    <w:p w14:paraId="084BEA05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Maintain audit-ready artefacts and consistent portfolio standards.</w:t>
      </w:r>
    </w:p>
    <w:p w14:paraId="635D8181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Demand intake &amp; business case quality</w:t>
      </w:r>
    </w:p>
    <w:p w14:paraId="153E1AD7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Control intake pipeline; ensure sponsorship, scope clarity, regulatory impact assessment, and benefits ownership.</w:t>
      </w:r>
    </w:p>
    <w:p w14:paraId="0A986FF1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Prioritisation &amp; portfolio shaping</w:t>
      </w:r>
    </w:p>
    <w:p w14:paraId="150B2F1E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Facilitate prioritisation using revenue, compliance criticality, operational risk, capacity, and standardisation value.</w:t>
      </w:r>
    </w:p>
    <w:p w14:paraId="691B5F13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Produce “what-if” scenarios and rebalancing proposals.</w:t>
      </w:r>
    </w:p>
    <w:p w14:paraId="5A1B3930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Financial management</w:t>
      </w:r>
    </w:p>
    <w:p w14:paraId="616DC5BF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 portfolio budget/forecast cycles and variance commentary; track EAC and commitments (CapEx/OpEx).</w:t>
      </w:r>
    </w:p>
    <w:p w14:paraId="4B480C06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Benefits realisation</w:t>
      </w:r>
    </w:p>
    <w:p w14:paraId="260221A4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Establish baselines and tracking cadence; drive corrective actions for drift.</w:t>
      </w:r>
    </w:p>
    <w:p w14:paraId="3AD153CA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Delivery assurance</w:t>
      </w:r>
    </w:p>
    <w:p w14:paraId="0B88439A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Provide independent challenge and assurance on plans, milestones, RAID, dependencies, and readiness for gating and go-live.</w:t>
      </w:r>
    </w:p>
    <w:p w14:paraId="05962EE9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Regulatory/Quality integration</w:t>
      </w:r>
    </w:p>
    <w:p w14:paraId="6D924A74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Ensure QMS controls, traceability, evidence management, and validation approach (where applicable) are embedded in delivery plans.</w:t>
      </w:r>
    </w:p>
    <w:p w14:paraId="203F2B9E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lastRenderedPageBreak/>
        <w:t>Reporting &amp; stakeholder management</w:t>
      </w:r>
    </w:p>
    <w:p w14:paraId="32792065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Deliver executive packs with clear narrative, decisions required, and risk mitigations.</w:t>
      </w:r>
    </w:p>
    <w:p w14:paraId="6BDC8DEB" w14:textId="77777777" w:rsidR="00AF7AFA" w:rsidRPr="009F0689" w:rsidRDefault="00AF7AFA" w:rsidP="00AF7AF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Tooling &amp; data quality</w:t>
      </w:r>
    </w:p>
    <w:p w14:paraId="073D584D" w14:textId="77777777" w:rsidR="00AF7AFA" w:rsidRPr="009F0689" w:rsidRDefault="00AF7AFA" w:rsidP="00AF7AF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 portfolio system of record; ensure consistent definitions and high-quality data.</w:t>
      </w:r>
    </w:p>
    <w:p w14:paraId="5771330D" w14:textId="77777777" w:rsidR="00AF7AFA" w:rsidRPr="009F0689" w:rsidRDefault="00536FEC" w:rsidP="00AF7AF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536FEC">
        <w:rPr>
          <w:rFonts w:ascii="Arial" w:eastAsia="Times New Roman" w:hAnsi="Arial" w:cs="Arial"/>
          <w:noProof/>
          <w:kern w:val="0"/>
          <w:sz w:val="24"/>
          <w:szCs w:val="24"/>
          <w:lang w:eastAsia="en-GB"/>
        </w:rPr>
        <w:pict w14:anchorId="1F337F4A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692D2EAA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42424"/>
          <w:kern w:val="0"/>
          <w:sz w:val="36"/>
          <w:szCs w:val="36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36"/>
          <w:szCs w:val="36"/>
          <w:lang w:eastAsia="en-GB"/>
          <w14:ligatures w14:val="none"/>
        </w:rPr>
        <w:t>Level 1: Portfolio Manager</w:t>
      </w:r>
    </w:p>
    <w:p w14:paraId="0564185D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Role focus: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 xml:space="preserve"> Strong day-to-day portfolio control, governance execution, and delivery assurance; manages defined portfolio segment or a smaller pan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EU portfolio with support.</w:t>
      </w:r>
    </w:p>
    <w:p w14:paraId="6C074AC6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Typical complexity</w:t>
      </w:r>
    </w:p>
    <w:p w14:paraId="6ECC8776" w14:textId="77777777" w:rsidR="00AF7AFA" w:rsidRPr="009F0689" w:rsidRDefault="00AF7AFA" w:rsidP="00AF7AF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Portfolio of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small-to-mid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 programmes/projects with moderate integration/dependency load</w:t>
      </w:r>
    </w:p>
    <w:p w14:paraId="3775ABAF" w14:textId="77777777" w:rsidR="00AF7AFA" w:rsidRPr="009F0689" w:rsidRDefault="00AF7AFA" w:rsidP="00AF7AF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Cross-country scope with limited site count or fewer critical workstreams</w:t>
      </w:r>
    </w:p>
    <w:p w14:paraId="38482F1E" w14:textId="77777777" w:rsidR="00AF7AFA" w:rsidRPr="009F0689" w:rsidRDefault="00AF7AFA" w:rsidP="00AF7AF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Manages reporting and governance routines; escalates major conflicts with support</w:t>
      </w:r>
    </w:p>
    <w:p w14:paraId="444463DF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Key expectations</w:t>
      </w:r>
    </w:p>
    <w:p w14:paraId="0EB830EA" w14:textId="77777777" w:rsidR="00AF7AFA" w:rsidRPr="009F0689" w:rsidRDefault="00AF7AFA" w:rsidP="00AF7AF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Runs governance meetings effectively; keeps actions/decisions moving.</w:t>
      </w:r>
    </w:p>
    <w:p w14:paraId="4B393EC0" w14:textId="77777777" w:rsidR="00AF7AFA" w:rsidRPr="009F0689" w:rsidRDefault="00AF7AFA" w:rsidP="00AF7AF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Produces high-quality portfolio reporting with objective RAG and clear commentary.</w:t>
      </w:r>
    </w:p>
    <w:p w14:paraId="6E291900" w14:textId="77777777" w:rsidR="00AF7AFA" w:rsidRPr="009F0689" w:rsidRDefault="00AF7AFA" w:rsidP="00AF7AF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Maintains rigorous RAID and dependency management discipline.</w:t>
      </w:r>
    </w:p>
    <w:p w14:paraId="39B0F941" w14:textId="77777777" w:rsidR="00AF7AFA" w:rsidRPr="009F0689" w:rsidRDefault="00AF7AFA" w:rsidP="00AF7AF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Supports benefits tracking and financial forecasting with Finance partnership.</w:t>
      </w:r>
    </w:p>
    <w:p w14:paraId="55570DF3" w14:textId="223885BA" w:rsidR="00AF7AFA" w:rsidRPr="009F0689" w:rsidRDefault="00AF7AFA" w:rsidP="00AF7AF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Ensures regulated artefacts are planned and collected, flags gaps early.</w:t>
      </w:r>
    </w:p>
    <w:p w14:paraId="07BF0D3B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Decision authority (typical)</w:t>
      </w:r>
    </w:p>
    <w:p w14:paraId="476B3DC4" w14:textId="77777777" w:rsidR="00AF7AFA" w:rsidRPr="009F0689" w:rsidRDefault="00AF7AFA" w:rsidP="00AF7AF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Recommend prioritisation within agreed guardrails; propose reallocation options.</w:t>
      </w:r>
    </w:p>
    <w:p w14:paraId="782D5DEB" w14:textId="77777777" w:rsidR="00AF7AFA" w:rsidRPr="009F0689" w:rsidRDefault="00AF7AFA" w:rsidP="00AF7AF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Challenge initiative readiness for gate progression; escalate go/no-go concerns.</w:t>
      </w:r>
    </w:p>
    <w:p w14:paraId="7F78F8C7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Experience / capability indicators</w:t>
      </w:r>
    </w:p>
    <w:p w14:paraId="5EECE699" w14:textId="77777777" w:rsidR="00AF7AFA" w:rsidRPr="009F0689" w:rsidRDefault="00AF7AFA" w:rsidP="00AF7AF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Strong PMO/programme management background in regulated or operationally critical environments.</w:t>
      </w:r>
    </w:p>
    <w:p w14:paraId="4157629C" w14:textId="77777777" w:rsidR="00AF7AFA" w:rsidRPr="009F0689" w:rsidRDefault="00AF7AFA" w:rsidP="00AF7AF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Comfortable with CapEx/OpEx tracking and portfolio dashboards.</w:t>
      </w:r>
    </w:p>
    <w:p w14:paraId="506ECB25" w14:textId="77777777" w:rsidR="00AF7AFA" w:rsidRPr="009F0689" w:rsidRDefault="00AF7AFA" w:rsidP="00AF7A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Developing executive influence across countries/functions.</w:t>
      </w:r>
    </w:p>
    <w:p w14:paraId="4574276D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Salary band placeholder</w:t>
      </w:r>
    </w:p>
    <w:p w14:paraId="14196A66" w14:textId="77777777" w:rsidR="00AF7AFA" w:rsidRPr="009F0689" w:rsidRDefault="00AF7AFA" w:rsidP="00AF7AF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Base salary: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[€XX,XXX – €XX,XXX]</w:t>
      </w:r>
    </w:p>
    <w:p w14:paraId="2E1390D0" w14:textId="77777777" w:rsidR="00AF7AFA" w:rsidRPr="009F0689" w:rsidRDefault="00AF7AFA" w:rsidP="00AF7AF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Bonus: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[X–Y%]</w:t>
      </w:r>
    </w:p>
    <w:p w14:paraId="3FA75986" w14:textId="77777777" w:rsidR="00AF7AFA" w:rsidRPr="009F0689" w:rsidRDefault="00AF7AFA" w:rsidP="00AF7AF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Benefits: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[standard/company]</w:t>
      </w:r>
    </w:p>
    <w:p w14:paraId="55237B85" w14:textId="77777777" w:rsidR="00AF7AFA" w:rsidRPr="009F0689" w:rsidRDefault="00AF7AFA" w:rsidP="00AF7AF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12223AFB" w14:textId="6D6EF7C0" w:rsidR="00AF7AFA" w:rsidRPr="009F0689" w:rsidRDefault="00536FEC" w:rsidP="00AF7AFA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536FEC">
        <w:rPr>
          <w:rFonts w:ascii="Arial" w:eastAsia="Times New Roman" w:hAnsi="Arial" w:cs="Arial"/>
          <w:noProof/>
          <w:kern w:val="0"/>
          <w:sz w:val="24"/>
          <w:szCs w:val="24"/>
          <w:lang w:eastAsia="en-GB"/>
        </w:rPr>
        <w:pict w14:anchorId="77453552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463D65BB" w14:textId="77777777" w:rsidR="00AF7AFA" w:rsidRPr="009F0689" w:rsidRDefault="00AF7AFA" w:rsidP="00AF7AF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42424"/>
          <w:kern w:val="0"/>
          <w:sz w:val="36"/>
          <w:szCs w:val="36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36"/>
          <w:szCs w:val="36"/>
          <w:lang w:eastAsia="en-GB"/>
          <w14:ligatures w14:val="none"/>
        </w:rPr>
        <w:t>Level 2: Senior Portfolio Manager</w:t>
      </w:r>
    </w:p>
    <w:p w14:paraId="3C7499C4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Role focus: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 xml:space="preserve"> Owns a larger, higher-risk pan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European portfolio; leads portfolio shaping and executive decisioning; drives standardisation and maturity improvements across the PMO.</w:t>
      </w:r>
    </w:p>
    <w:p w14:paraId="603BBE15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lastRenderedPageBreak/>
        <w:t>Typical complexity</w:t>
      </w:r>
    </w:p>
    <w:p w14:paraId="6EF80936" w14:textId="77777777" w:rsidR="00AF7AFA" w:rsidRPr="009F0689" w:rsidRDefault="00AF7AFA" w:rsidP="00AF7AF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Portfolio with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material revenue commitments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, high audit/compliance exposure, and significant vendor/customer dependencies</w:t>
      </w:r>
    </w:p>
    <w:p w14:paraId="3C8657CD" w14:textId="77777777" w:rsidR="00AF7AFA" w:rsidRPr="009F0689" w:rsidRDefault="00AF7AFA" w:rsidP="00AF7A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Multi-site/country cutovers, peak-season constraints, and complex capacity contention</w:t>
      </w:r>
    </w:p>
    <w:p w14:paraId="08E31EA1" w14:textId="77777777" w:rsidR="00AF7AFA" w:rsidRPr="009F0689" w:rsidRDefault="00AF7AFA" w:rsidP="00AF7AF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Drives portfolio strategy and rebalancing to match funding and capacity constraints</w:t>
      </w:r>
    </w:p>
    <w:p w14:paraId="0C1AC116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Key expectations</w:t>
      </w:r>
    </w:p>
    <w:p w14:paraId="796E1E1D" w14:textId="77777777" w:rsidR="00AF7AFA" w:rsidRPr="009F0689" w:rsidRDefault="00AF7AFA" w:rsidP="00AF7A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Leads executive forums with strong narrative and options analysis (trade-offs clearly quantified).</w:t>
      </w:r>
    </w:p>
    <w:p w14:paraId="1086366C" w14:textId="77777777" w:rsidR="00AF7AFA" w:rsidRPr="009F0689" w:rsidRDefault="00AF7AFA" w:rsidP="00AF7A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Owns portfolio shaping (scenario planning, investment proposals, reprioritisation) and drives cross-functional alignment.</w:t>
      </w:r>
    </w:p>
    <w:p w14:paraId="07E298B1" w14:textId="77777777" w:rsidR="00AF7AFA" w:rsidRPr="009F0689" w:rsidRDefault="00AF7AFA" w:rsidP="00AF7A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Anticipates systemic risks to revenue/compliance and mobilises mitigations early.</w:t>
      </w:r>
    </w:p>
    <w:p w14:paraId="1B086E68" w14:textId="77777777" w:rsidR="00AF7AFA" w:rsidRPr="009F0689" w:rsidRDefault="00AF7AFA" w:rsidP="00AF7A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Coaches PMs/PMO analysts on standards; improves templates, RAG discipline, and tool adoption.</w:t>
      </w:r>
    </w:p>
    <w:p w14:paraId="2D8056C9" w14:textId="77777777" w:rsidR="00AF7AFA" w:rsidRPr="009F0689" w:rsidRDefault="00AF7AFA" w:rsidP="00AF7AF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Strengthens benefits governance and ensures post-go-live realisation is actively managed.</w:t>
      </w:r>
    </w:p>
    <w:p w14:paraId="2F8E300B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Decision authority (typical)</w:t>
      </w:r>
    </w:p>
    <w:p w14:paraId="7CD5D35C" w14:textId="77777777" w:rsidR="00AF7AFA" w:rsidRPr="009F0689" w:rsidRDefault="00AF7AFA" w:rsidP="00AF7AF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Drives portfolio-level prioritisation recommendations for SteerCo/Investment Board approval.</w:t>
      </w:r>
    </w:p>
    <w:p w14:paraId="321A678F" w14:textId="77777777" w:rsidR="00AF7AFA" w:rsidRPr="009F0689" w:rsidRDefault="00AF7AFA" w:rsidP="00AF7AF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Can stop/hold initiatives at gate pending remediation; escalates with clear rationale.</w:t>
      </w:r>
    </w:p>
    <w:p w14:paraId="3A03AB99" w14:textId="77777777" w:rsidR="00AF7AFA" w:rsidRPr="009F0689" w:rsidRDefault="00AF7AFA" w:rsidP="00AF7AF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Leads material reforecast/reallocation proposals with Finance.</w:t>
      </w:r>
    </w:p>
    <w:p w14:paraId="39DACD78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Experience / capability indicators</w:t>
      </w:r>
    </w:p>
    <w:p w14:paraId="1A0959F9" w14:textId="77777777" w:rsidR="00AF7AFA" w:rsidRPr="009F0689" w:rsidRDefault="00AF7AFA" w:rsidP="00AF7AF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Proven ownership of multi</w:t>
      </w: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noBreakHyphen/>
        <w:t>million € portfolios across multiple countries/sites.</w:t>
      </w:r>
    </w:p>
    <w:p w14:paraId="73CD7614" w14:textId="77777777" w:rsidR="00AF7AFA" w:rsidRPr="009F0689" w:rsidRDefault="00AF7AFA" w:rsidP="00AF7AF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Strong background in regulated delivery, audit readiness, and complex integrations (WMS/TMS/ERP, EDI/API).</w:t>
      </w:r>
    </w:p>
    <w:p w14:paraId="2C37C831" w14:textId="77777777" w:rsidR="00AF7AFA" w:rsidRPr="009F0689" w:rsidRDefault="00AF7AFA" w:rsidP="00AF7AF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Demonstrated executive stakeholder management and conflict resolution “without authority”.</w:t>
      </w:r>
    </w:p>
    <w:p w14:paraId="7307BB11" w14:textId="77777777" w:rsidR="00AF7AFA" w:rsidRPr="009F0689" w:rsidRDefault="00AF7AFA" w:rsidP="00AF7AFA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Salary band placeholder</w:t>
      </w:r>
    </w:p>
    <w:p w14:paraId="0AA06F05" w14:textId="77777777" w:rsidR="00AF7AFA" w:rsidRPr="009F0689" w:rsidRDefault="00AF7AFA" w:rsidP="00AF7AFA">
      <w:pPr>
        <w:numPr>
          <w:ilvl w:val="0"/>
          <w:numId w:val="15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Base salary: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[€XX,XXX – €XX,XXX]</w:t>
      </w:r>
    </w:p>
    <w:p w14:paraId="47CFBF66" w14:textId="77777777" w:rsidR="00AF7AFA" w:rsidRPr="009F0689" w:rsidRDefault="00AF7AFA" w:rsidP="00AF7AFA">
      <w:pPr>
        <w:numPr>
          <w:ilvl w:val="0"/>
          <w:numId w:val="15"/>
        </w:num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Bonus: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[X–Y%]</w:t>
      </w:r>
    </w:p>
    <w:p w14:paraId="07EE88D2" w14:textId="77777777" w:rsidR="00AF7AFA" w:rsidRPr="009F0689" w:rsidRDefault="00AF7AFA" w:rsidP="00AF7A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</w:pPr>
      <w:r w:rsidRPr="009F0689">
        <w:rPr>
          <w:rFonts w:ascii="Arial" w:eastAsia="Times New Roman" w:hAnsi="Arial" w:cs="Arial"/>
          <w:color w:val="242424"/>
          <w:kern w:val="0"/>
          <w:sz w:val="21"/>
          <w:szCs w:val="21"/>
          <w:lang w:eastAsia="en-GB"/>
          <w14:ligatures w14:val="none"/>
        </w:rPr>
        <w:t>Benefits: </w:t>
      </w:r>
      <w:r w:rsidRPr="009F0689">
        <w:rPr>
          <w:rFonts w:ascii="Arial" w:eastAsia="Times New Roman" w:hAnsi="Arial" w:cs="Arial"/>
          <w:b/>
          <w:bCs/>
          <w:color w:val="242424"/>
          <w:kern w:val="0"/>
          <w:sz w:val="21"/>
          <w:szCs w:val="21"/>
          <w:lang w:eastAsia="en-GB"/>
          <w14:ligatures w14:val="none"/>
        </w:rPr>
        <w:t>[enhanced/company]</w:t>
      </w:r>
    </w:p>
    <w:p w14:paraId="5C924204" w14:textId="77777777" w:rsidR="0049325D" w:rsidRPr="009F0689" w:rsidRDefault="0049325D">
      <w:pPr>
        <w:rPr>
          <w:rFonts w:ascii="Arial" w:hAnsi="Arial" w:cs="Arial"/>
        </w:rPr>
      </w:pPr>
    </w:p>
    <w:sectPr w:rsidR="0049325D" w:rsidRPr="009F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420"/>
    <w:multiLevelType w:val="multilevel"/>
    <w:tmpl w:val="63C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17B9"/>
    <w:multiLevelType w:val="multilevel"/>
    <w:tmpl w:val="704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97C"/>
    <w:multiLevelType w:val="multilevel"/>
    <w:tmpl w:val="2F3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F55"/>
    <w:multiLevelType w:val="multilevel"/>
    <w:tmpl w:val="2A0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C1654"/>
    <w:multiLevelType w:val="multilevel"/>
    <w:tmpl w:val="94C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97A8F"/>
    <w:multiLevelType w:val="multilevel"/>
    <w:tmpl w:val="19A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A6C47"/>
    <w:multiLevelType w:val="multilevel"/>
    <w:tmpl w:val="4F4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F5FBA"/>
    <w:multiLevelType w:val="multilevel"/>
    <w:tmpl w:val="36A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E7F7E"/>
    <w:multiLevelType w:val="multilevel"/>
    <w:tmpl w:val="97E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60206"/>
    <w:multiLevelType w:val="multilevel"/>
    <w:tmpl w:val="A2A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C1C5F"/>
    <w:multiLevelType w:val="multilevel"/>
    <w:tmpl w:val="4D0E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5578F8"/>
    <w:multiLevelType w:val="multilevel"/>
    <w:tmpl w:val="415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29D9"/>
    <w:multiLevelType w:val="multilevel"/>
    <w:tmpl w:val="520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522EA"/>
    <w:multiLevelType w:val="multilevel"/>
    <w:tmpl w:val="4A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C54A3"/>
    <w:multiLevelType w:val="multilevel"/>
    <w:tmpl w:val="754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94168">
    <w:abstractNumId w:val="5"/>
  </w:num>
  <w:num w:numId="2" w16cid:durableId="658507669">
    <w:abstractNumId w:val="11"/>
  </w:num>
  <w:num w:numId="3" w16cid:durableId="1774278315">
    <w:abstractNumId w:val="2"/>
  </w:num>
  <w:num w:numId="4" w16cid:durableId="1669136886">
    <w:abstractNumId w:val="4"/>
  </w:num>
  <w:num w:numId="5" w16cid:durableId="2103797913">
    <w:abstractNumId w:val="10"/>
  </w:num>
  <w:num w:numId="6" w16cid:durableId="1156149569">
    <w:abstractNumId w:val="14"/>
  </w:num>
  <w:num w:numId="7" w16cid:durableId="30884980">
    <w:abstractNumId w:val="3"/>
  </w:num>
  <w:num w:numId="8" w16cid:durableId="1742605890">
    <w:abstractNumId w:val="8"/>
  </w:num>
  <w:num w:numId="9" w16cid:durableId="334840952">
    <w:abstractNumId w:val="7"/>
  </w:num>
  <w:num w:numId="10" w16cid:durableId="1063144382">
    <w:abstractNumId w:val="13"/>
  </w:num>
  <w:num w:numId="11" w16cid:durableId="1256279826">
    <w:abstractNumId w:val="0"/>
  </w:num>
  <w:num w:numId="12" w16cid:durableId="1443763106">
    <w:abstractNumId w:val="6"/>
  </w:num>
  <w:num w:numId="13" w16cid:durableId="1809978554">
    <w:abstractNumId w:val="12"/>
  </w:num>
  <w:num w:numId="14" w16cid:durableId="186793711">
    <w:abstractNumId w:val="9"/>
  </w:num>
  <w:num w:numId="15" w16cid:durableId="1261253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FA"/>
    <w:rsid w:val="00411C41"/>
    <w:rsid w:val="0049325D"/>
    <w:rsid w:val="00536FEC"/>
    <w:rsid w:val="009F0689"/>
    <w:rsid w:val="00AB4847"/>
    <w:rsid w:val="00AF7AFA"/>
    <w:rsid w:val="00B6052E"/>
    <w:rsid w:val="00BD0363"/>
    <w:rsid w:val="00D0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A158"/>
  <w15:chartTrackingRefBased/>
  <w15:docId w15:val="{752568F5-677F-4150-B34A-C4284DAC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FBA9308C534FB18A017EDC32F4EB" ma:contentTypeVersion="10" ma:contentTypeDescription="Create a new document." ma:contentTypeScope="" ma:versionID="fa768cb77ed6c20840176d7a83cf5798">
  <xsd:schema xmlns:xsd="http://www.w3.org/2001/XMLSchema" xmlns:xs="http://www.w3.org/2001/XMLSchema" xmlns:p="http://schemas.microsoft.com/office/2006/metadata/properties" xmlns:ns2="10953a17-510d-4364-8ff9-248395f27718" xmlns:ns3="4417f25a-fe8b-4f77-b2c5-f670fdc5f147" targetNamespace="http://schemas.microsoft.com/office/2006/metadata/properties" ma:root="true" ma:fieldsID="45d5d51e688fe1286a1bf9cd4ee22b98" ns2:_="" ns3:_="">
    <xsd:import namespace="10953a17-510d-4364-8ff9-248395f27718"/>
    <xsd:import namespace="4417f25a-fe8b-4f77-b2c5-f670fdc5f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53a17-510d-4364-8ff9-248395f27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c8288c-6099-4289-a83d-50ac0de6e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7f25a-fe8b-4f77-b2c5-f670fdc5f1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6a3538-5323-4efe-b0f4-cee1c2a96eee}" ma:internalName="TaxCatchAll" ma:showField="CatchAllData" ma:web="4417f25a-fe8b-4f77-b2c5-f670fdc5f1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17f25a-fe8b-4f77-b2c5-f670fdc5f147" xsi:nil="true"/>
    <lcf76f155ced4ddcb4097134ff3c332f xmlns="10953a17-510d-4364-8ff9-248395f277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8C41FB-87E5-43B6-90E8-FA046302E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953a17-510d-4364-8ff9-248395f27718"/>
    <ds:schemaRef ds:uri="4417f25a-fe8b-4f77-b2c5-f670fdc5f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A73A69-A502-46E5-8E43-C63C9DEBEB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411540-F05C-4C2F-801E-22F4A19DCE39}">
  <ds:schemaRefs>
    <ds:schemaRef ds:uri="http://schemas.microsoft.com/office/2006/metadata/properties"/>
    <ds:schemaRef ds:uri="http://schemas.microsoft.com/office/infopath/2007/PartnerControls"/>
    <ds:schemaRef ds:uri="4417f25a-fe8b-4f77-b2c5-f670fdc5f147"/>
    <ds:schemaRef ds:uri="10953a17-510d-4364-8ff9-248395f277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Mercedes</dc:creator>
  <cp:keywords/>
  <dc:description/>
  <cp:lastModifiedBy>Matt Hancock</cp:lastModifiedBy>
  <cp:revision>2</cp:revision>
  <dcterms:created xsi:type="dcterms:W3CDTF">2026-04-15T10:09:00Z</dcterms:created>
  <dcterms:modified xsi:type="dcterms:W3CDTF">2026-04-15T10:09:00Z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0x010100E297FBA9308C534FB18A017EDC32F4EB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