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</w:rPr>
        <w:t>FABRICE RIMLINGER</w:t>
      </w:r>
      <w:r>
        <w:rPr>
          <w:rFonts w:ascii="Ubuntu" w:hAnsi="Ubuntu"/>
          <w:sz w:val="20"/>
        </w:rPr>
        <w:br/>
        <w:t>Marseille, France</w:t>
        <w:br/>
        <w:t>+33 (0)6 23 57 77 85</w:t>
        <w:br/>
      </w:r>
      <w:hyperlink r:id="rId2" w:tgtFrame="_blank">
        <w:r>
          <w:rPr>
            <w:rStyle w:val="Hyperlink"/>
            <w:rFonts w:ascii="Ubuntu" w:hAnsi="Ubuntu"/>
            <w:sz w:val="20"/>
          </w:rPr>
          <w:t>fabrice@rimlinger.eu</w:t>
        </w:r>
      </w:hyperlink>
      <w:r>
        <w:rPr>
          <w:rFonts w:ascii="Ubuntu" w:hAnsi="Ubuntu"/>
          <w:sz w:val="20"/>
        </w:rPr>
        <w:br/>
        <w:t>linkedin.com/in/fabricerimlinger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</w:rPr>
        <w:t>RESPONSABLE DES OPÉRATIONS | MANAGEMENT DE TRANSITION | TRANSFORMATION &amp; EXCELLENCE OPÉRATIONNELLE</w:t>
      </w:r>
    </w:p>
    <w:p>
      <w:pPr>
        <w:pStyle w:val="Heading2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0" w:name="profil"/>
      <w:bookmarkEnd w:id="0"/>
      <w:r>
        <w:rPr>
          <w:rFonts w:ascii="Ubuntu" w:hAnsi="Ubuntu"/>
          <w:sz w:val="24"/>
          <w:szCs w:val="24"/>
        </w:rPr>
        <w:t>PROFIL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Dirigeant opérationnel avec plus de 20 ans d’expérience dans la logistique, la supply chain, la transformation et le pilotage de projets complexes en Europe.</w:t>
        <w:br/>
        <w:t>Intervention dans des contextes de structuration, de changement, d’intégration et de remise sous contrôle de la performance.</w:t>
        <w:br/>
        <w:t>Expertise en management d’équipes pluridisciplinaires, réduction des coûts, pilotage budgétaire, automatisation, business intelligence et amélioration continue, avec des résultats mesurables dans des environnements exigeants et multiculturels.</w:t>
      </w:r>
    </w:p>
    <w:p>
      <w:pPr>
        <w:pStyle w:val="Heading2"/>
        <w:keepNext w:val="true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1" w:name="comptences-cls"/>
      <w:bookmarkEnd w:id="1"/>
      <w:r>
        <w:rPr>
          <w:rFonts w:ascii="Ubuntu" w:hAnsi="Ubuntu"/>
          <w:sz w:val="24"/>
          <w:szCs w:val="24"/>
        </w:rPr>
        <w:t>COMPÉTENCES CLÉS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des opérations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Management de transition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Excellence opérationnelle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Transformation organisationnelle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Structuration et mobilisation d’équipes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Gestion de la performance et KPI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Réduction des coûts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Gestion budgétaire et CAPEX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Coordination transverse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Intégration post-acquisition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Gestion des risques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PMO / pilotage de projets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Supply chain et logistique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26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Business intelligence, data et automatisation</w:t>
      </w:r>
    </w:p>
    <w:p>
      <w:pPr>
        <w:pStyle w:val="Heading2"/>
        <w:keepNext w:val="true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2" w:name="exprience-professionnelle"/>
      <w:bookmarkEnd w:id="2"/>
      <w:r>
        <w:rPr>
          <w:rFonts w:ascii="Ubuntu" w:hAnsi="Ubuntu"/>
          <w:sz w:val="24"/>
          <w:szCs w:val="24"/>
        </w:rPr>
        <w:t>EXPÉRIENCE PROFESSIONNELLE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Director Business Excellence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Colis Privé</w:t>
      </w:r>
      <w:r>
        <w:rPr>
          <w:rFonts w:ascii="Ubuntu" w:hAnsi="Ubuntu"/>
          <w:sz w:val="20"/>
          <w:szCs w:val="36"/>
        </w:rPr>
        <w:t> — Marseille</w:t>
        <w:br/>
      </w:r>
      <w:r>
        <w:rPr>
          <w:rStyle w:val="Strong"/>
          <w:rFonts w:ascii="Ubuntu" w:hAnsi="Ubuntu"/>
          <w:sz w:val="20"/>
          <w:szCs w:val="36"/>
        </w:rPr>
        <w:t>Mai 2024 – Présent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Direction d’une équipe de 25 collaborateurs en charge de la performance opérationnelle, de la performance client et de la business intelligence.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Mise en place de leviers d’automatisation incluant prévisions IA, RPA et call bots, avec réduction de 40% des tâches manuelles et amélioration de la rapidité de traitement.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Réduction de 20% du budget Service Client, soit 550k€ d’économies annuelles, dans un contexte de hausse de 7,5% de l’activité.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Renforcement du pilotage de la performance par l’analyse statistique, les indicateurs opérationnels et l’aide à la décision.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Director of Transformation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Colis Privé</w:t>
      </w:r>
      <w:r>
        <w:rPr>
          <w:rFonts w:ascii="Ubuntu" w:hAnsi="Ubuntu"/>
          <w:sz w:val="20"/>
          <w:szCs w:val="36"/>
        </w:rPr>
        <w:t> — Marseille</w:t>
        <w:br/>
      </w:r>
      <w:r>
        <w:rPr>
          <w:rStyle w:val="Strong"/>
          <w:rFonts w:ascii="Ubuntu" w:hAnsi="Ubuntu"/>
          <w:sz w:val="20"/>
          <w:szCs w:val="36"/>
        </w:rPr>
        <w:t>Juillet 2023 – Avril 2024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de l’intégration de 300 collaborateurs issus de Milee, avec coordination des volets juridique, gestion des risques et modélisation P&amp;L.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Coordination d’équipes transverses pour sécurisation de la continuité d’activité et stabilité opérationnelle pendant la transformation.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Production d’analyses et de reportings à destination du management pour pilotage de la transition et accélération de la prise de décision.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Senior Manager – Supply Chain Long-Term Planning &amp; Risk Management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Amazon</w:t>
      </w:r>
      <w:r>
        <w:rPr>
          <w:rFonts w:ascii="Ubuntu" w:hAnsi="Ubuntu"/>
          <w:sz w:val="20"/>
          <w:szCs w:val="36"/>
        </w:rPr>
        <w:t> — Luxembourg / Remote</w:t>
        <w:br/>
      </w:r>
      <w:r>
        <w:rPr>
          <w:rStyle w:val="Strong"/>
          <w:rFonts w:ascii="Ubuntu" w:hAnsi="Ubuntu"/>
          <w:sz w:val="20"/>
          <w:szCs w:val="36"/>
        </w:rPr>
        <w:t>Août 2022 – Juillet 2023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Définition du SOP d’expansion supply chain à 36 mois pour l’Europe.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Construction de scénarios de benchmark et lancement de pilotes sur la réaffectation de plus de 80 bâtiments Amazon dans l’Union européenne.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Contribution à la planification capacitaire et à l’optimisation du réseau logistique à grande échelle.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Director of Expansion &amp; Industrial Integration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Infarm</w:t>
      </w:r>
      <w:r>
        <w:rPr>
          <w:rFonts w:ascii="Ubuntu" w:hAnsi="Ubuntu"/>
          <w:sz w:val="20"/>
          <w:szCs w:val="36"/>
        </w:rPr>
        <w:t> — Berlin</w:t>
        <w:br/>
      </w:r>
      <w:r>
        <w:rPr>
          <w:rStyle w:val="Strong"/>
          <w:rFonts w:ascii="Ubuntu" w:hAnsi="Ubuntu"/>
          <w:sz w:val="20"/>
          <w:szCs w:val="36"/>
        </w:rPr>
        <w:t>Juin 2021 – Juillet 2022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du déploiement d’infrastructures industrielles en Allemagne, Royaume-Uni, Danemark et France.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Direction d’un programme de 72M€ de CAPEX et management d’une équipe de 16 ingénieurs et techniciens.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Mise en place d’outils digitaux de suivi projet et de pilotage de la décision pour fiabilisation de l’exécution et amélioration de la visibilité opérationnelle.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Head of Technical &amp; Environmental Real Estate Due Diligence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Amazon</w:t>
      </w:r>
      <w:r>
        <w:rPr>
          <w:rFonts w:ascii="Ubuntu" w:hAnsi="Ubuntu"/>
          <w:sz w:val="20"/>
          <w:szCs w:val="36"/>
        </w:rPr>
        <w:t> — Aix-en-Provence / Remote</w:t>
        <w:br/>
      </w:r>
      <w:r>
        <w:rPr>
          <w:rStyle w:val="Strong"/>
          <w:rFonts w:ascii="Ubuntu" w:hAnsi="Ubuntu"/>
          <w:sz w:val="20"/>
          <w:szCs w:val="36"/>
        </w:rPr>
        <w:t>Octobre 2018 – Août 2021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Supervision de plus de 700 due diligences annuelles en EMEA, avec responsabilité d’un budget annuel de 40M€.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Encadrement de 10 risk managers et de plus de 30 consultants dans un environnement multi-sites et multi-parties prenantes.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Conception et déploiement de la plateforme BI SHIELD pour structuration de l’analyse, du reporting et du pilotage des risques.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Head of AMZL Expansion – South Europe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Amazon Logistics</w:t>
      </w:r>
      <w:r>
        <w:rPr>
          <w:rFonts w:ascii="Ubuntu" w:hAnsi="Ubuntu"/>
          <w:sz w:val="20"/>
          <w:szCs w:val="36"/>
        </w:rPr>
        <w:t> — Milan / Madrid</w:t>
        <w:br/>
      </w:r>
      <w:r>
        <w:rPr>
          <w:rStyle w:val="Strong"/>
          <w:rFonts w:ascii="Ubuntu" w:hAnsi="Ubuntu"/>
          <w:sz w:val="20"/>
          <w:szCs w:val="36"/>
        </w:rPr>
        <w:t>Avril 2016 – Septembre 2018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Déploiement du réseau last-mile Amazon en Italie et en Espagne, avec ouverture de 15 stations de livraison en 2 ans.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Coordination de plus de 15 équipes couvrant immobilier, construction, juridique, recrutement, IT et prestataires.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Standardisation des outils, méthodes et processus de déploiement à l’échelle EMEA.</w:t>
      </w:r>
      <w:r>
        <w:rPr>
          <w:rFonts w:ascii="Ubuntu" w:hAnsi="Ubuntu"/>
          <w:sz w:val="20"/>
          <w:szCs w:val="36"/>
        </w:rPr>
        <w:t>​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Head of Transportation Technology – South Europe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Amazon</w:t>
      </w:r>
      <w:r>
        <w:rPr>
          <w:rFonts w:ascii="Ubuntu" w:hAnsi="Ubuntu"/>
          <w:sz w:val="20"/>
          <w:szCs w:val="36"/>
        </w:rPr>
        <w:t> — Paris</w:t>
        <w:br/>
      </w:r>
      <w:r>
        <w:rPr>
          <w:rStyle w:val="Strong"/>
          <w:rFonts w:ascii="Ubuntu" w:hAnsi="Ubuntu"/>
          <w:sz w:val="20"/>
          <w:szCs w:val="36"/>
        </w:rPr>
        <w:t>Avril 2014 – Mars 2016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de l’intégration technique de transporteurs et de nouveaux services de livraison en France, Italie et Espagne.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Management d’une équipe de chefs de projet et accompagnement du déploiement de solutions same-day et livraison planifiée.</w:t>
      </w:r>
      <w:r>
        <w:rPr>
          <w:rFonts w:ascii="Ubuntu" w:hAnsi="Ubuntu"/>
          <w:sz w:val="20"/>
          <w:szCs w:val="36"/>
        </w:rPr>
        <w:t>​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Busines</w:t>
      </w:r>
      <w:r>
        <w:rPr>
          <w:rStyle w:val="Strong"/>
          <w:rFonts w:ascii="Ubuntu" w:hAnsi="Ubuntu"/>
          <w:sz w:val="20"/>
          <w:szCs w:val="36"/>
        </w:rPr>
        <w:t xml:space="preserve">s </w:t>
      </w:r>
      <w:r>
        <w:rPr>
          <w:rStyle w:val="Strong"/>
          <w:rFonts w:ascii="Ubuntu" w:hAnsi="Ubuntu"/>
          <w:sz w:val="20"/>
          <w:szCs w:val="36"/>
        </w:rPr>
        <w:t>developmen</w:t>
      </w:r>
      <w:r>
        <w:rPr>
          <w:rStyle w:val="Strong"/>
          <w:rFonts w:ascii="Ubuntu" w:hAnsi="Ubuntu"/>
          <w:sz w:val="20"/>
          <w:szCs w:val="36"/>
        </w:rPr>
        <w:t>t Manage</w:t>
      </w:r>
      <w:r>
        <w:rPr>
          <w:rStyle w:val="Strong"/>
          <w:rFonts w:ascii="Ubuntu" w:hAnsi="Ubuntu"/>
          <w:sz w:val="20"/>
          <w:szCs w:val="36"/>
        </w:rPr>
        <w:t>r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ColdEnergy France</w:t>
      </w:r>
      <w:r>
        <w:rPr>
          <w:rFonts w:ascii="Ubuntu" w:hAnsi="Ubuntu"/>
          <w:sz w:val="20"/>
          <w:szCs w:val="36"/>
        </w:rPr>
        <w:t> — Aix-en-Provence</w:t>
        <w:br/>
      </w:r>
      <w:r>
        <w:rPr>
          <w:rStyle w:val="Strong"/>
          <w:rFonts w:ascii="Ubuntu" w:hAnsi="Ubuntu"/>
          <w:sz w:val="20"/>
          <w:szCs w:val="36"/>
        </w:rPr>
        <w:t>2012 – 2014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Développement d’une activité générant 2M€ de chiffre d’affaires autour de projets de logistique frigorifique et d’installations industrielles en EMEA.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Coordination des acteurs techniques, construction et SAV pour tenue des délais et des budgets.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Directeur des Opérations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Dole Europe</w:t>
      </w:r>
      <w:r>
        <w:rPr>
          <w:rFonts w:ascii="Ubuntu" w:hAnsi="Ubuntu"/>
          <w:sz w:val="20"/>
          <w:szCs w:val="36"/>
        </w:rPr>
        <w:t> — Constanţa, Roumanie</w:t>
        <w:br/>
      </w:r>
      <w:r>
        <w:rPr>
          <w:rStyle w:val="Strong"/>
          <w:rFonts w:ascii="Ubuntu" w:hAnsi="Ubuntu"/>
          <w:sz w:val="20"/>
          <w:szCs w:val="36"/>
        </w:rPr>
        <w:t>2009 – 2010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Conduite de la restructuration post-acquisition de 5 sites et 60 salariés couvrant entrepôts, transport, ports, qualité et distribution.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Réduction des effectifs de 50% et rénovation de 2 installations pour augmentation de la capacité opérationnelle.</w:t>
      </w:r>
      <w:r>
        <w:rPr>
          <w:rFonts w:ascii="Ubuntu" w:hAnsi="Ubuntu"/>
          <w:sz w:val="20"/>
          <w:szCs w:val="36"/>
        </w:rPr>
        <w:t>​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EU Operations Control &amp; Corporate Projects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Dole Europe</w:t>
      </w:r>
      <w:r>
        <w:rPr>
          <w:rFonts w:ascii="Ubuntu" w:hAnsi="Ubuntu"/>
          <w:sz w:val="20"/>
          <w:szCs w:val="36"/>
        </w:rPr>
        <w:t> — Paris</w:t>
        <w:br/>
      </w:r>
      <w:r>
        <w:rPr>
          <w:rStyle w:val="Strong"/>
          <w:rFonts w:ascii="Ubuntu" w:hAnsi="Ubuntu"/>
          <w:sz w:val="20"/>
          <w:szCs w:val="36"/>
        </w:rPr>
        <w:t>2007 – 2009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du plan industriel à 5 ans des installations de mûrissage Dole Europe sur un réseau de 25 entrepôts.</w:t>
      </w:r>
      <w:r>
        <w:rPr>
          <w:rFonts w:ascii="Ubuntu" w:hAnsi="Ubuntu"/>
          <w:sz w:val="20"/>
          <w:szCs w:val="36"/>
        </w:rPr>
        <w:t>​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Directeur des Opérations</w:t>
      </w:r>
      <w:r>
        <w:rPr>
          <w:rFonts w:ascii="Ubuntu" w:hAnsi="Ubuntu"/>
          <w:sz w:val="20"/>
          <w:szCs w:val="36"/>
        </w:rPr>
        <w:br/>
      </w:r>
      <w:r>
        <w:rPr>
          <w:rStyle w:val="Strong"/>
          <w:rFonts w:ascii="Ubuntu" w:hAnsi="Ubuntu"/>
          <w:sz w:val="20"/>
          <w:szCs w:val="36"/>
        </w:rPr>
        <w:t>Pomona Spain</w:t>
      </w:r>
      <w:r>
        <w:rPr>
          <w:rFonts w:ascii="Ubuntu" w:hAnsi="Ubuntu"/>
          <w:sz w:val="20"/>
          <w:szCs w:val="36"/>
        </w:rPr>
        <w:t> — Barcelone</w:t>
        <w:br/>
      </w:r>
      <w:r>
        <w:rPr>
          <w:rStyle w:val="Strong"/>
          <w:rFonts w:ascii="Ubuntu" w:hAnsi="Ubuntu"/>
          <w:sz w:val="20"/>
          <w:szCs w:val="36"/>
        </w:rPr>
        <w:t>2005 – 2006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240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Pilotage de la traçabilité, des investissements de maintenance et d’actifs, du contrôle des coûts, de la qualité et des négociations fournisseurs.</w:t>
      </w:r>
    </w:p>
    <w:p>
      <w:pPr>
        <w:pStyle w:val="Heading2"/>
        <w:keepNext w:val="true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3" w:name="formation"/>
      <w:bookmarkEnd w:id="3"/>
      <w:r>
        <w:rPr>
          <w:rFonts w:ascii="Ubuntu" w:hAnsi="Ubuntu"/>
          <w:sz w:val="24"/>
          <w:szCs w:val="24"/>
        </w:rPr>
        <w:t>FORMATION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/>
      </w:pPr>
      <w:r>
        <w:rPr>
          <w:rStyle w:val="Strong"/>
          <w:rFonts w:ascii="Ubuntu" w:hAnsi="Ubuntu"/>
          <w:sz w:val="20"/>
          <w:szCs w:val="36"/>
        </w:rPr>
        <w:t>Ingénieur agronome / Master of Science</w:t>
      </w:r>
      <w:r>
        <w:rPr>
          <w:rFonts w:ascii="Ubuntu" w:hAnsi="Ubuntu"/>
          <w:sz w:val="20"/>
          <w:szCs w:val="36"/>
        </w:rPr>
        <w:br/>
        <w:t xml:space="preserve">École Nationale Supérieure Agronomique — Toulouse </w:t>
      </w:r>
      <w:r>
        <w:rPr>
          <w:rFonts w:ascii="Ubuntu" w:hAnsi="Ubuntu"/>
          <w:sz w:val="20"/>
          <w:szCs w:val="36"/>
        </w:rPr>
        <w:t>1991- 1994</w:t>
      </w:r>
    </w:p>
    <w:p>
      <w:pPr>
        <w:pStyle w:val="Heading2"/>
        <w:keepNext w:val="true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4" w:name="langues"/>
      <w:bookmarkEnd w:id="4"/>
      <w:r>
        <w:rPr>
          <w:rFonts w:ascii="Ubuntu" w:hAnsi="Ubuntu"/>
          <w:sz w:val="24"/>
          <w:szCs w:val="24"/>
        </w:rPr>
        <w:t>LANGUES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83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Français : langue maternelle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83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 xml:space="preserve">Anglais : courant </w:t>
      </w:r>
      <w:r>
        <w:rPr>
          <w:rFonts w:ascii="Ubuntu" w:hAnsi="Ubuntu"/>
          <w:sz w:val="20"/>
          <w:szCs w:val="36"/>
        </w:rPr>
        <w:t>(C2)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240" w:before="0" w:after="83"/>
        <w:ind w:hanging="283" w:start="709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 xml:space="preserve">Espagnol : courant </w:t>
      </w:r>
      <w:r>
        <w:rPr>
          <w:rFonts w:ascii="Ubuntu" w:hAnsi="Ubuntu"/>
          <w:sz w:val="20"/>
          <w:szCs w:val="36"/>
        </w:rPr>
        <w:t>(C2)</w:t>
      </w:r>
    </w:p>
    <w:p>
      <w:pPr>
        <w:pStyle w:val="Heading2"/>
        <w:keepNext w:val="true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4"/>
          <w:szCs w:val="24"/>
        </w:rPr>
      </w:pPr>
      <w:bookmarkStart w:id="5" w:name="outils"/>
      <w:bookmarkEnd w:id="5"/>
      <w:r>
        <w:rPr>
          <w:rFonts w:ascii="Ubuntu" w:hAnsi="Ubuntu"/>
          <w:sz w:val="24"/>
          <w:szCs w:val="24"/>
        </w:rPr>
        <w:t>OUTILS</w:t>
      </w:r>
    </w:p>
    <w:p>
      <w:pPr>
        <w:pStyle w:val="BodyText"/>
        <w:pBdr/>
        <w:bidi w:val="0"/>
        <w:spacing w:lineRule="auto" w:line="240"/>
        <w:ind w:hanging="0" w:start="0" w:end="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t>Excel VBA, SQL, Power BI, Power Query, Salesforce, MicroStrategy, data visualisation.</w:t>
      </w:r>
      <w:r>
        <w:rPr>
          <w:rFonts w:ascii="Ubuntu" w:hAnsi="Ubuntu"/>
          <w:sz w:val="20"/>
          <w:szCs w:val="36"/>
        </w:rPr>
        <w:t>​</w:t>
      </w:r>
    </w:p>
    <w:p>
      <w:pPr>
        <w:pStyle w:val="BodyText"/>
        <w:bidi w:val="0"/>
        <w:spacing w:lineRule="auto" w:line="240" w:before="0" w:after="140"/>
        <w:jc w:val="start"/>
        <w:rPr>
          <w:rFonts w:ascii="Ubuntu" w:hAnsi="Ubuntu"/>
          <w:sz w:val="20"/>
          <w:szCs w:val="36"/>
        </w:rPr>
      </w:pPr>
      <w:r>
        <w:rPr>
          <w:rFonts w:ascii="Ubuntu" w:hAnsi="Ubuntu"/>
          <w:sz w:val="20"/>
          <w:szCs w:val="36"/>
        </w:rPr>
        <w:br/>
      </w:r>
    </w:p>
    <w:sectPr>
      <w:type w:val="nextPage"/>
      <w:pgSz w:w="11906" w:h="16838"/>
      <w:pgMar w:left="831" w:right="641" w:gutter="0" w:header="0" w:top="50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Ubuntu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fabrice@rimlinger.eu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833</Words>
  <Characters>4989</Characters>
  <CharactersWithSpaces>5744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2026-03-23T17:14:54Z</dcterms:created>
  <dc:creator/>
  <dc:description/>
  <dc:language>fr-FR</dc:language>
  <cp:lastModifiedBy/>
  <dcterms:modified xsi:type="dcterms:W3CDTF">2026-03-23T17:27:29Z</dcterms:modified>
  <cp:revision>2</cp:revision>
  <dc:subject/>
  <dc:title/>
</cp:coreProperties>
</file>